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Per gli allievi rappresentiamo il nome, un </w:t>
            </w:r>
            <w:r>
              <w:rPr>
                <w:kern w:val="0"/>
                <w:sz w:val="24"/>
                <w:szCs w:val="20"/>
              </w:rPr>
              <w:t>numero di telefono</w:t>
            </w:r>
            <w:r>
              <w:rPr>
                <w:kern w:val="0"/>
                <w:sz w:val="24"/>
                <w:szCs w:val="20"/>
              </w:rPr>
              <w:t>,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dei giorni specifici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individuale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0">
                <wp:simplePos x="0" y="0"/>
                <wp:positionH relativeFrom="column">
                  <wp:posOffset>3766185</wp:posOffset>
                </wp:positionH>
                <wp:positionV relativeFrom="paragraph">
                  <wp:posOffset>80010</wp:posOffset>
                </wp:positionV>
                <wp:extent cx="2422525" cy="2148840"/>
                <wp:effectExtent l="0" t="0" r="0" b="0"/>
                <wp:wrapSquare wrapText="largest"/>
                <wp:docPr id="3" name="Cornice2"/>
                <a:graphic xmlns:a="http://schemas.openxmlformats.org/drawingml/2006/main">
                  <a:graphicData uri="http://schemas.microsoft.com/office/word/2010/wordprocessingShape">
                    <wps:wsp>
                      <wps:cNvSpPr/>
                      <wps:spPr>
                        <a:xfrm>
                          <a:off x="0" y="0"/>
                          <a:ext cx="2421720" cy="21481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0.65pt;height:169.1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mc:AlternateContent>
          <mc:Choice Requires="wps">
            <w:drawing>
              <wp:anchor behindDoc="0" distT="179705" distB="179705" distL="179705" distR="179705" simplePos="0" locked="0" layoutInCell="0" allowOverlap="1" relativeHeight="42">
                <wp:simplePos x="0" y="0"/>
                <wp:positionH relativeFrom="column">
                  <wp:posOffset>4448175</wp:posOffset>
                </wp:positionH>
                <wp:positionV relativeFrom="paragraph">
                  <wp:posOffset>13335</wp:posOffset>
                </wp:positionV>
                <wp:extent cx="1715770" cy="2502535"/>
                <wp:effectExtent l="0" t="0" r="0" b="0"/>
                <wp:wrapSquare wrapText="largest"/>
                <wp:docPr id="7" name="Cornice3"/>
                <a:graphic xmlns:a="http://schemas.openxmlformats.org/drawingml/2006/main">
                  <a:graphicData uri="http://schemas.microsoft.com/office/word/2010/wordprocessingShape">
                    <wps:wsp>
                      <wps:cNvSpPr/>
                      <wps:spPr>
                        <a:xfrm>
                          <a:off x="0" y="0"/>
                          <a:ext cx="1715040" cy="25020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1714500" cy="2085975"/>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08597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0.25pt;margin-top:1.05pt;width:135pt;height:196.95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1714500" cy="2085975"/>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08597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p>
    <w:p>
      <w:pPr>
        <w:pStyle w:val="Normal"/>
        <w:bidi w:val="0"/>
        <w:rPr>
          <w:sz w:val="24"/>
        </w:rPr>
      </w:pP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sz w:val="24"/>
        </w:rPr>
        <w:t>Dalle considerazioni di cui sopra otteniamo quindi le entità e relazioni in fig.3.</w:t>
      </w:r>
    </w:p>
    <w:p>
      <w:pPr>
        <w:pStyle w:val="Normal"/>
        <w:numPr>
          <w:ilvl w:val="0"/>
          <w:numId w:val="10"/>
        </w:numPr>
        <w:bidi w:val="0"/>
        <w:rPr/>
      </w:pPr>
      <w:r>
        <mc:AlternateContent>
          <mc:Choice Requires="wps">
            <w:drawing>
              <wp:anchor behindDoc="0" distT="179705" distB="179705" distL="179705" distR="179705" simplePos="0" locked="0" layoutInCell="0" allowOverlap="1" relativeHeight="44">
                <wp:simplePos x="0" y="0"/>
                <wp:positionH relativeFrom="column">
                  <wp:posOffset>2911475</wp:posOffset>
                </wp:positionH>
                <wp:positionV relativeFrom="paragraph">
                  <wp:posOffset>507365</wp:posOffset>
                </wp:positionV>
                <wp:extent cx="3445510" cy="3254375"/>
                <wp:effectExtent l="0" t="0" r="0" b="0"/>
                <wp:wrapSquare wrapText="largest"/>
                <wp:docPr id="11" name="Cornice4"/>
                <a:graphic xmlns:a="http://schemas.openxmlformats.org/drawingml/2006/main">
                  <a:graphicData uri="http://schemas.microsoft.com/office/word/2010/wordprocessingShape">
                    <wps:wsp>
                      <wps:cNvSpPr/>
                      <wps:spPr>
                        <a:xfrm>
                          <a:off x="0" y="0"/>
                          <a:ext cx="3444840" cy="32536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29.25pt;margin-top:39.95pt;width:271.2pt;height:256.15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t>Una “Lezione Corso” è identificata dal corso di cui è lezione (come indicato dal Pattern di Composizione), dal giorno e dall’orario in cui si tiene (ipotizzando che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Un Corso può avere da 0 (qualora ad un corso non si siano ancora mai iscritti degli allievi) o molti Allievi; da specifica, un Allievo è iscritto ad un unico Corso.</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46">
                <wp:simplePos x="0" y="0"/>
                <wp:positionH relativeFrom="column">
                  <wp:posOffset>3262630</wp:posOffset>
                </wp:positionH>
                <wp:positionV relativeFrom="paragraph">
                  <wp:posOffset>111125</wp:posOffset>
                </wp:positionV>
                <wp:extent cx="2830195" cy="3030855"/>
                <wp:effectExtent l="0" t="0" r="0" b="0"/>
                <wp:wrapSquare wrapText="largest"/>
                <wp:docPr id="15" name="Cornice5"/>
                <a:graphic xmlns:a="http://schemas.openxmlformats.org/drawingml/2006/main">
                  <a:graphicData uri="http://schemas.microsoft.com/office/word/2010/wordprocessingShape">
                    <wps:wsp>
                      <wps:cNvSpPr/>
                      <wps:spPr>
                        <a:xfrm>
                          <a:off x="0" y="0"/>
                          <a:ext cx="2829600" cy="30301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2828925" cy="2614295"/>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2828925" cy="26142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56.9pt;margin-top:8.75pt;width:222.75pt;height:238.55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2828925" cy="2614295"/>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2828925" cy="261429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Nome. Supponiamo che, data la dimensione del Minimondo di riferimento, il nome sia identificante per un Insegnante e quindi che sia bassa la probabilità che due Insegnanti abbiano lo stesso nome</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w:t>
      </w:r>
    </w:p>
    <w:p>
      <w:pPr>
        <w:pStyle w:val="Normal"/>
        <w:bidi w:val="0"/>
        <w:rPr/>
      </w:pPr>
      <w:r>
        <w:rPr/>
      </w:r>
    </w:p>
    <w:p>
      <w:pPr>
        <w:pStyle w:val="Normal"/>
        <w:bidi w:val="0"/>
        <w:rPr/>
      </w:pP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Recapito e Numero di assenze</w:t>
      </w:r>
    </w:p>
    <w:p>
      <w:pPr>
        <w:pStyle w:val="Normal"/>
        <w:bidi w:val="0"/>
        <w:rPr/>
      </w:pPr>
      <w:r>
        <mc:AlternateContent>
          <mc:Choice Requires="wps">
            <w:drawing>
              <wp:anchor behindDoc="0" distT="179705" distB="179705" distL="179705" distR="179705" simplePos="0" locked="0" layoutInCell="0" allowOverlap="1" relativeHeight="48">
                <wp:simplePos x="0" y="0"/>
                <wp:positionH relativeFrom="column">
                  <wp:posOffset>2204085</wp:posOffset>
                </wp:positionH>
                <wp:positionV relativeFrom="paragraph">
                  <wp:posOffset>120650</wp:posOffset>
                </wp:positionV>
                <wp:extent cx="4095115" cy="2599690"/>
                <wp:effectExtent l="0" t="0" r="0" b="0"/>
                <wp:wrapSquare wrapText="largest"/>
                <wp:docPr id="19" name="Cornice6"/>
                <a:graphic xmlns:a="http://schemas.openxmlformats.org/drawingml/2006/main">
                  <a:graphicData uri="http://schemas.microsoft.com/office/word/2010/wordprocessingShape">
                    <wps:wsp>
                      <wps:cNvSpPr/>
                      <wps:spPr>
                        <a:xfrm>
                          <a:off x="0" y="0"/>
                          <a:ext cx="4094640" cy="25992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3.55pt;margin-top:9.5pt;width:322.35pt;height:204.6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Poiché, da specifica è di interesse non solo tenere traccia del numero di assenze fatte da un allievo, ma anche della data di queste, e quindi l’assenza è un concetto significativo di cui si vuole tenere memoria, costruiamo anche l’entità Assenza, identificata dalla data in cui essa è stata commessa e, tramite identificatore esterno, dall’Allievo che l’ha commessa.</w:t>
      </w:r>
    </w:p>
    <w:p>
      <w:pPr>
        <w:pStyle w:val="Normal"/>
        <w:bidi w:val="0"/>
        <w:rPr/>
      </w:pPr>
      <w:r>
        <mc:AlternateContent>
          <mc:Choice Requires="wps">
            <w:drawing>
              <wp:anchor behindDoc="0" distT="179705" distB="179705" distL="179705" distR="179705" simplePos="0" locked="0" layoutInCell="0" allowOverlap="1" relativeHeight="50">
                <wp:simplePos x="0" y="0"/>
                <wp:positionH relativeFrom="column">
                  <wp:posOffset>2594610</wp:posOffset>
                </wp:positionH>
                <wp:positionV relativeFrom="paragraph">
                  <wp:posOffset>-24130</wp:posOffset>
                </wp:positionV>
                <wp:extent cx="3545205" cy="2978150"/>
                <wp:effectExtent l="0" t="0" r="0" b="0"/>
                <wp:wrapSquare wrapText="largest"/>
                <wp:docPr id="23" name="Cornice7"/>
                <a:graphic xmlns:a="http://schemas.openxmlformats.org/drawingml/2006/main">
                  <a:graphicData uri="http://schemas.microsoft.com/office/word/2010/wordprocessingShape">
                    <wps:wsp>
                      <wps:cNvSpPr/>
                      <wps:spPr>
                        <a:xfrm>
                          <a:off x="0" y="0"/>
                          <a:ext cx="3544560" cy="29775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3543935" cy="2561590"/>
                                  <wp:effectExtent l="0" t="0" r="0" b="0"/>
                                  <wp:docPr id="2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6" descr=""/>
                                          <pic:cNvPicPr>
                                            <a:picLocks noChangeAspect="1" noChangeArrowheads="1"/>
                                          </pic:cNvPicPr>
                                        </pic:nvPicPr>
                                        <pic:blipFill>
                                          <a:blip r:embed="rId16"/>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204.3pt;margin-top:-1.9pt;width:279.05pt;height:234.4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3543935" cy="2561590"/>
                            <wp:effectExtent l="0" t="0" r="0" b="0"/>
                            <wp:docPr id="2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6" descr=""/>
                                    <pic:cNvPicPr>
                                      <a:picLocks noChangeAspect="1" noChangeArrowheads="1"/>
                                    </pic:cNvPicPr>
                                  </pic:nvPicPr>
                                  <pic:blipFill>
                                    <a:blip r:embed="rId17"/>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Lezione Privata</w:t>
                      </w:r>
                    </w:p>
                  </w:txbxContent>
                </v:textbox>
                <w10:wrap type="square" side="largest"/>
              </v:rect>
            </w:pict>
          </mc:Fallback>
        </mc:AlternateContent>
      </w: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bidi w:val="0"/>
        <w:rPr/>
      </w:pPr>
      <w:r>
        <w:rPr/>
      </w:r>
    </w:p>
    <w:p>
      <w:pPr>
        <w:pStyle w:val="Normal"/>
        <w:bidi w:val="0"/>
        <w:rPr/>
      </w:pPr>
      <w:r>
        <w:rPr/>
        <w:t>In fig.6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Ora. L’ora viene rappresentata perché si deve tenere conto del fatto che una lezione non possa essere prenotata in concomitanza con un altro impegno dell’insegnante.</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La Lezione Privata viene identificata da:</w:t>
      </w:r>
    </w:p>
    <w:p>
      <w:pPr>
        <w:pStyle w:val="Normal"/>
        <w:numPr>
          <w:ilvl w:val="0"/>
          <w:numId w:val="16"/>
        </w:numPr>
        <w:bidi w:val="0"/>
        <w:rPr/>
      </w:pPr>
      <w:r>
        <w:rPr>
          <w:sz w:val="24"/>
        </w:rPr>
        <w:t>Allievo prenotante;</w:t>
      </w:r>
    </w:p>
    <w:p>
      <w:pPr>
        <w:pStyle w:val="Normal"/>
        <w:numPr>
          <w:ilvl w:val="0"/>
          <w:numId w:val="16"/>
        </w:numPr>
        <w:bidi w:val="0"/>
        <w:rPr/>
      </w:pPr>
      <w:r>
        <w:rPr>
          <w:sz w:val="24"/>
        </w:rPr>
        <w:t>Data e Ora della lezione;</w:t>
      </w:r>
    </w:p>
    <w:p>
      <w:pPr>
        <w:pStyle w:val="Normal"/>
        <w:numPr>
          <w:ilvl w:val="0"/>
          <w:numId w:val="16"/>
        </w:numPr>
        <w:bidi w:val="0"/>
        <w:rPr/>
      </w:pPr>
      <w:r>
        <w:rPr>
          <w:sz w:val="24"/>
        </w:rPr>
        <w:t>Insegnante prenotato</w:t>
      </w:r>
    </w:p>
    <w:p>
      <w:pPr>
        <w:pStyle w:val="Normal"/>
        <w:bidi w:val="0"/>
        <w:rPr/>
      </w:pPr>
      <w:r>
        <w:rPr>
          <w:sz w:val="24"/>
        </w:rPr>
        <w:t>Utilizzare data e ora permette di far si che un allievo possa prenotare più lezioni nello stesso giorno ma in orari diversi</w:t>
      </w:r>
    </w:p>
    <w:p>
      <w:pPr>
        <w:pStyle w:val="Normal"/>
        <w:bidi w:val="0"/>
        <w:rPr>
          <w:sz w:val="24"/>
        </w:rPr>
      </w:pPr>
      <w:r>
        <w:rPr>
          <w:sz w:val="24"/>
        </w:rPr>
      </w:r>
    </w:p>
    <w:p>
      <w:pPr>
        <w:pStyle w:val="Normal"/>
        <w:bidi w:val="0"/>
        <w:rPr/>
      </w:pPr>
      <w:r>
        <mc:AlternateContent>
          <mc:Choice Requires="wps">
            <w:drawing>
              <wp:anchor behindDoc="0" distT="179705" distB="179705" distL="179705" distR="179705" simplePos="0" locked="0" layoutInCell="0" allowOverlap="1" relativeHeight="52">
                <wp:simplePos x="0" y="0"/>
                <wp:positionH relativeFrom="column">
                  <wp:posOffset>2207895</wp:posOffset>
                </wp:positionH>
                <wp:positionV relativeFrom="paragraph">
                  <wp:posOffset>635</wp:posOffset>
                </wp:positionV>
                <wp:extent cx="3815080" cy="2620645"/>
                <wp:effectExtent l="0" t="0" r="0" b="0"/>
                <wp:wrapSquare wrapText="largest"/>
                <wp:docPr id="27" name="Cornice8"/>
                <a:graphic xmlns:a="http://schemas.openxmlformats.org/drawingml/2006/main">
                  <a:graphicData uri="http://schemas.microsoft.com/office/word/2010/wordprocessingShape">
                    <wps:wsp>
                      <wps:cNvSpPr/>
                      <wps:spPr>
                        <a:xfrm>
                          <a:off x="0" y="0"/>
                          <a:ext cx="3814560" cy="26200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3813810" cy="2204085"/>
                                  <wp:effectExtent l="0" t="0" r="0" b="0"/>
                                  <wp:docPr id="2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7" descr=""/>
                                          <pic:cNvPicPr>
                                            <a:picLocks noChangeAspect="1" noChangeArrowheads="1"/>
                                          </pic:cNvPicPr>
                                        </pic:nvPicPr>
                                        <pic:blipFill>
                                          <a:blip r:embed="rId18"/>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3pt;height:206.25pt;mso-wrap-style:square;v-text-anchor:top">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3813810" cy="2204085"/>
                            <wp:effectExtent l="0" t="0" r="0" b="0"/>
                            <wp:docPr id="30"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7" descr=""/>
                                    <pic:cNvPicPr>
                                      <a:picLocks noChangeAspect="1" noChangeArrowheads="1"/>
                                    </pic:cNvPicPr>
                                  </pic:nvPicPr>
                                  <pic:blipFill>
                                    <a:blip r:embed="rId19"/>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Attività Culturale</w:t>
                      </w:r>
                    </w:p>
                  </w:txbxContent>
                </v:textbox>
                <w10:wrap type="square" side="largest"/>
              </v:rect>
            </w:pict>
          </mc:Fallback>
        </mc:AlternateContent>
      </w:r>
      <w:r>
        <w:rPr>
          <w:sz w:val="24"/>
        </w:rPr>
        <w:t>In fig.7 si mostra la costruzione dell’entità Attività Culturale. Le attività culturali si dividono in due tipologie:</w:t>
      </w:r>
    </w:p>
    <w:p>
      <w:pPr>
        <w:pStyle w:val="Normal"/>
        <w:numPr>
          <w:ilvl w:val="0"/>
          <w:numId w:val="17"/>
        </w:numPr>
        <w:bidi w:val="0"/>
        <w:rPr/>
      </w:pPr>
      <w:r>
        <w:rPr>
          <w:sz w:val="24"/>
        </w:rPr>
        <w:t>Proiezioni</w:t>
      </w:r>
    </w:p>
    <w:p>
      <w:pPr>
        <w:pStyle w:val="Normal"/>
        <w:numPr>
          <w:ilvl w:val="0"/>
          <w:numId w:val="17"/>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8"/>
        </w:numPr>
        <w:bidi w:val="0"/>
        <w:rPr/>
      </w:pPr>
      <w:r>
        <w:rPr>
          <w:sz w:val="24"/>
        </w:rPr>
        <w:t>un allievo può iscriversi a 0 o n attività culturali ;</w:t>
      </w:r>
    </w:p>
    <w:p>
      <w:pPr>
        <w:pStyle w:val="Normal"/>
        <w:numPr>
          <w:ilvl w:val="0"/>
          <w:numId w:val="18"/>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2"/>
        <w:gridCol w:w="1354"/>
        <w:gridCol w:w="4086"/>
      </w:tblGrid>
      <w:tr>
        <w:trPr/>
        <w:tc>
          <w:tcPr>
            <w:tcW w:w="452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6"/>
        <w:gridCol w:w="4347"/>
        <w:gridCol w:w="4789"/>
      </w:tblGrid>
      <w:tr>
        <w:trPr/>
        <w:tc>
          <w:tcPr>
            <w:tcW w:w="82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3"/>
        </w:numPr>
        <w:tabs>
          <w:tab w:val="clear" w:pos="720"/>
          <w:tab w:val="left" w:pos="425" w:leader="none"/>
        </w:tabs>
        <w:bidi w:val="0"/>
        <w:rPr>
          <w:sz w:val="22"/>
        </w:rPr>
      </w:pPr>
      <w:r>
        <w:rPr>
          <w:sz w:val="22"/>
        </w:rPr>
        <w:t>Analisi delle ridondanze</w:t>
      </w:r>
    </w:p>
    <w:p>
      <w:pPr>
        <w:pStyle w:val="Annotationtext"/>
        <w:numPr>
          <w:ilvl w:val="0"/>
          <w:numId w:val="24"/>
        </w:numPr>
        <w:tabs>
          <w:tab w:val="clear" w:pos="720"/>
          <w:tab w:val="left" w:pos="425" w:leader="none"/>
        </w:tabs>
        <w:bidi w:val="0"/>
        <w:rPr>
          <w:sz w:val="22"/>
        </w:rPr>
      </w:pPr>
      <w:r>
        <w:rPr>
          <w:sz w:val="22"/>
        </w:rPr>
        <w:t>Eliminazione delle generalizzazioni</w:t>
      </w:r>
    </w:p>
    <w:p>
      <w:pPr>
        <w:pStyle w:val="Annotationtext"/>
        <w:numPr>
          <w:ilvl w:val="0"/>
          <w:numId w:val="2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0"/>
      <w:footerReference w:type="default" r:id="rId21"/>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36">
              <wp:simplePos x="0" y="0"/>
              <wp:positionH relativeFrom="margin">
                <wp:align>center</wp:align>
              </wp:positionH>
              <wp:positionV relativeFrom="paragraph">
                <wp:posOffset>635</wp:posOffset>
              </wp:positionV>
              <wp:extent cx="157480" cy="174625"/>
              <wp:effectExtent l="0" t="0" r="0" b="0"/>
              <wp:wrapSquare wrapText="bothSides"/>
              <wp:docPr id="31" name="Cornice1"/>
              <a:graphic xmlns:a="http://schemas.openxmlformats.org/drawingml/2006/main">
                <a:graphicData uri="http://schemas.microsoft.com/office/word/2010/wordprocessingShape">
                  <wps:wsp>
                    <wps:cNvSpPr/>
                    <wps:spPr>
                      <a:xfrm>
                        <a:off x="0" y="0"/>
                        <a:ext cx="15696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45pt;margin-top:0.05pt;width:12.3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231</TotalTime>
  <Application>LibreOffice/7.2.5.2$Linux_X86_64 LibreOffice_project/20$Build-2</Application>
  <AppVersion>15.0000</AppVersion>
  <Pages>18</Pages>
  <Words>3385</Words>
  <Characters>19328</Characters>
  <CharactersWithSpaces>22415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2022-03-11T17:18:23Z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