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7A4EF3" w:rsidP="007A4EF3">
      <w:pPr>
        <w:jc w:val="center"/>
        <w:rPr>
          <w:rFonts w:ascii="Arial" w:hAnsi="Arial" w:cs="Arial"/>
          <w:sz w:val="28"/>
          <w:lang w:val="it-IT"/>
        </w:rPr>
      </w:pPr>
      <w:r>
        <w:rPr>
          <w:rFonts w:ascii="Arial" w:hAnsi="Arial" w:cs="Arial"/>
          <w:sz w:val="28"/>
          <w:lang w:val="it-IT"/>
        </w:rPr>
        <w:t xml:space="preserve">Giovanni Verga </w:t>
      </w:r>
    </w:p>
    <w:p w:rsidR="007A4EF3" w:rsidRDefault="007A4EF3" w:rsidP="007A4EF3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VITA</w:t>
      </w:r>
      <w:r>
        <w:rPr>
          <w:rFonts w:ascii="Arial" w:hAnsi="Arial" w:cs="Arial"/>
          <w:lang w:val="it-IT"/>
        </w:rPr>
        <w:t>:</w:t>
      </w:r>
    </w:p>
    <w:p w:rsidR="007A4EF3" w:rsidRDefault="007A4EF3" w:rsidP="007A4EF3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lang w:val="it-IT"/>
        </w:rPr>
        <w:t xml:space="preserve">Nato il 2 settembre 1840 a Catania da una famiglia di proprietari terrieri di tradizioni liberali. Non ha fiducia nel progresso ed è tradizionalista. Frequenta la scuola del letterato romantico Abate e nel 1858 la facoltà di legge, ma abbandona per seguire l’impresa di Garibaldi </w:t>
      </w:r>
      <w:r w:rsidRPr="007A4EF3">
        <w:rPr>
          <w:rFonts w:ascii="Arial" w:hAnsi="Arial" w:cs="Arial"/>
          <w:color w:val="FF0000"/>
          <w:lang w:val="it-IT"/>
        </w:rPr>
        <w:t>(?)</w:t>
      </w:r>
      <w:r>
        <w:rPr>
          <w:rFonts w:ascii="Arial" w:hAnsi="Arial" w:cs="Arial"/>
          <w:color w:val="FF0000"/>
          <w:lang w:val="it-IT"/>
        </w:rPr>
        <w:t xml:space="preserve"> </w:t>
      </w:r>
      <w:r>
        <w:rPr>
          <w:rFonts w:ascii="Arial" w:hAnsi="Arial" w:cs="Arial"/>
          <w:color w:val="000000" w:themeColor="text1"/>
          <w:lang w:val="it-IT"/>
        </w:rPr>
        <w:t>Guardia Nazionale. Nel 1865 va a Firenze e trova la capitale molto stimolante per la sua produzione e conosce Capuana. Nel 1872 si trasferisce a Milano e conosce molti esponenti della s</w:t>
      </w:r>
      <w:r w:rsidR="00A220CD">
        <w:rPr>
          <w:rFonts w:ascii="Arial" w:hAnsi="Arial" w:cs="Arial"/>
          <w:color w:val="000000" w:themeColor="text1"/>
          <w:lang w:val="it-IT"/>
        </w:rPr>
        <w:t xml:space="preserve">capigliatura (es. Emilio Praga). </w:t>
      </w:r>
      <w:r w:rsidR="001174FE">
        <w:rPr>
          <w:rFonts w:ascii="Arial" w:hAnsi="Arial" w:cs="Arial"/>
          <w:color w:val="000000" w:themeColor="text1"/>
          <w:lang w:val="it-IT"/>
        </w:rPr>
        <w:t xml:space="preserve">Si dedica alla lettura di scrittori realisti e naturalisti (da cui viene influenzato) come Balzac, Flaubert, Zola, I </w:t>
      </w:r>
      <w:proofErr w:type="spellStart"/>
      <w:r w:rsidR="001174FE">
        <w:rPr>
          <w:rFonts w:ascii="Arial" w:hAnsi="Arial" w:cs="Arial"/>
          <w:color w:val="000000" w:themeColor="text1"/>
          <w:lang w:val="it-IT"/>
        </w:rPr>
        <w:t>Goncourt</w:t>
      </w:r>
      <w:proofErr w:type="spellEnd"/>
      <w:r w:rsidR="001174FE">
        <w:rPr>
          <w:rFonts w:ascii="Arial" w:hAnsi="Arial" w:cs="Arial"/>
          <w:color w:val="000000" w:themeColor="text1"/>
          <w:lang w:val="it-IT"/>
        </w:rPr>
        <w:t xml:space="preserve"> e Maupassant.</w:t>
      </w:r>
      <w:r w:rsidR="00A220CD">
        <w:rPr>
          <w:rFonts w:ascii="Arial" w:hAnsi="Arial" w:cs="Arial"/>
          <w:color w:val="000000" w:themeColor="text1"/>
          <w:lang w:val="it-IT"/>
        </w:rPr>
        <w:t xml:space="preserve"> Nel 1896 appoggia la repressione del movimento dei Fasci Siciliani e due anni dopo l’intervento dell’esercito contr</w:t>
      </w:r>
      <w:r w:rsidR="004C198B">
        <w:rPr>
          <w:rFonts w:ascii="Arial" w:hAnsi="Arial" w:cs="Arial"/>
          <w:color w:val="000000" w:themeColor="text1"/>
          <w:lang w:val="it-IT"/>
        </w:rPr>
        <w:t xml:space="preserve">o le rivolte operaie di Milano. All’inizio della Prima Guerra Mondiale prende posizioni interventiste. </w:t>
      </w:r>
      <w:r w:rsidR="00A220CD">
        <w:rPr>
          <w:rFonts w:ascii="Arial" w:hAnsi="Arial" w:cs="Arial"/>
          <w:color w:val="000000" w:themeColor="text1"/>
          <w:lang w:val="it-IT"/>
        </w:rPr>
        <w:t xml:space="preserve">Dal </w:t>
      </w:r>
      <w:r w:rsidR="004C198B">
        <w:rPr>
          <w:rFonts w:ascii="Arial" w:hAnsi="Arial" w:cs="Arial"/>
          <w:color w:val="000000" w:themeColor="text1"/>
          <w:lang w:val="it-IT"/>
        </w:rPr>
        <w:t>18</w:t>
      </w:r>
      <w:r w:rsidR="00A220CD">
        <w:rPr>
          <w:rFonts w:ascii="Arial" w:hAnsi="Arial" w:cs="Arial"/>
          <w:color w:val="000000" w:themeColor="text1"/>
          <w:lang w:val="it-IT"/>
        </w:rPr>
        <w:t xml:space="preserve">74 insieme a Capuana dà vita al Verismo, al quale approva con Rosso Malpelo quattro anni dopo. Più o meno nello stesso periodo inizia il suo progetto “Il ciclo dei vinti” il quale però non sarà portato a termine. </w:t>
      </w:r>
      <w:r w:rsidR="001174FE">
        <w:rPr>
          <w:rFonts w:ascii="Arial" w:hAnsi="Arial" w:cs="Arial"/>
          <w:color w:val="000000" w:themeColor="text1"/>
          <w:lang w:val="it-IT"/>
        </w:rPr>
        <w:t>Nel 1893 torna a Catania e inizia in lui una crisi creativa e scrive solo per il teatro, importanti di questo periodo sono “La Lupa” e “Vita dei Campi”</w:t>
      </w:r>
      <w:r w:rsidR="00A220CD">
        <w:rPr>
          <w:rFonts w:ascii="Arial" w:hAnsi="Arial" w:cs="Arial"/>
          <w:color w:val="000000" w:themeColor="text1"/>
          <w:lang w:val="it-IT"/>
        </w:rPr>
        <w:t xml:space="preserve">. </w:t>
      </w:r>
      <w:r w:rsidR="004C198B">
        <w:rPr>
          <w:rFonts w:ascii="Arial" w:hAnsi="Arial" w:cs="Arial"/>
          <w:color w:val="000000" w:themeColor="text1"/>
          <w:lang w:val="it-IT"/>
        </w:rPr>
        <w:t xml:space="preserve">Nel 1920 viene nominato senatore e muore a Catania due anni dopo. </w:t>
      </w:r>
    </w:p>
    <w:p w:rsidR="00C1635F" w:rsidRDefault="00C1635F" w:rsidP="007A4EF3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u w:val="single"/>
          <w:lang w:val="it-IT"/>
        </w:rPr>
        <w:t>OPERE</w:t>
      </w:r>
      <w:r>
        <w:rPr>
          <w:rFonts w:ascii="Arial" w:hAnsi="Arial" w:cs="Arial"/>
          <w:color w:val="000000" w:themeColor="text1"/>
          <w:lang w:val="it-IT"/>
        </w:rPr>
        <w:t>:</w:t>
      </w:r>
    </w:p>
    <w:p w:rsidR="00C1635F" w:rsidRDefault="00C1635F" w:rsidP="007A4EF3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L’attività letteraria di Verga si divide in tre fasi: </w:t>
      </w:r>
    </w:p>
    <w:p w:rsidR="00C1635F" w:rsidRDefault="00C1635F" w:rsidP="00C163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PREVERISTA: ispirato a temi patriottici e alla poesia del romanticismo e della scapigliatura. Si suddivide in sottogruppi:</w:t>
      </w:r>
    </w:p>
    <w:p w:rsidR="00C1635F" w:rsidRDefault="00C1635F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Romanzi storico patriottico, “Amore e Patria”, “I Carbonari della montagna” e “Sulle Lagune”;</w:t>
      </w:r>
    </w:p>
    <w:p w:rsidR="00C1635F" w:rsidRDefault="00C1635F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Romanzi argomento sentimentale, “Una peccatrice”, “Storia si una capinera”, “Eva”, “Tigre reale” e “Eros”;</w:t>
      </w:r>
    </w:p>
    <w:p w:rsidR="00C1635F" w:rsidRDefault="00C1635F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Raccolta di racconti, “Nedda”;</w:t>
      </w:r>
    </w:p>
    <w:p w:rsidR="00C1635F" w:rsidRDefault="00C1635F" w:rsidP="00C1635F">
      <w:pPr>
        <w:pStyle w:val="Paragrafoelenco"/>
        <w:ind w:left="1080"/>
        <w:jc w:val="both"/>
        <w:rPr>
          <w:rFonts w:ascii="Arial" w:hAnsi="Arial" w:cs="Arial"/>
          <w:color w:val="000000" w:themeColor="text1"/>
          <w:lang w:val="it-IT"/>
        </w:rPr>
      </w:pPr>
    </w:p>
    <w:p w:rsidR="00C1635F" w:rsidRDefault="00C1635F" w:rsidP="00C163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VERISTA: caratterizzata dall’adesione al verismo. Suddivisa in sottogruppi:</w:t>
      </w:r>
    </w:p>
    <w:p w:rsidR="00C1635F" w:rsidRDefault="00C1635F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Raccolte di novelle, “Vita dei campi”, “Novelle rusticane”</w:t>
      </w:r>
    </w:p>
    <w:p w:rsidR="00C1635F" w:rsidRDefault="00CD6489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C</w:t>
      </w:r>
      <w:r w:rsidR="00C1635F">
        <w:rPr>
          <w:rFonts w:ascii="Arial" w:hAnsi="Arial" w:cs="Arial"/>
          <w:color w:val="000000" w:themeColor="text1"/>
          <w:lang w:val="it-IT"/>
        </w:rPr>
        <w:t>iclo dei vinti,</w:t>
      </w:r>
      <w:r>
        <w:rPr>
          <w:rFonts w:ascii="Arial" w:hAnsi="Arial" w:cs="Arial"/>
          <w:color w:val="000000" w:themeColor="text1"/>
          <w:lang w:val="it-IT"/>
        </w:rPr>
        <w:t xml:space="preserve"> progetto iniziato per rappresentare i vinti della società</w:t>
      </w:r>
      <w:r w:rsidR="00E23B68">
        <w:rPr>
          <w:rFonts w:ascii="Arial" w:hAnsi="Arial" w:cs="Arial"/>
          <w:color w:val="000000" w:themeColor="text1"/>
          <w:lang w:val="it-IT"/>
        </w:rPr>
        <w:t xml:space="preserve"> e i motivi che portano gli uomini ad agire, ma </w:t>
      </w:r>
      <w:r>
        <w:rPr>
          <w:rFonts w:ascii="Arial" w:hAnsi="Arial" w:cs="Arial"/>
          <w:color w:val="000000" w:themeColor="text1"/>
          <w:lang w:val="it-IT"/>
        </w:rPr>
        <w:t>non portato a termine</w:t>
      </w:r>
      <w:r w:rsidR="00E23B68">
        <w:rPr>
          <w:rFonts w:ascii="Arial" w:hAnsi="Arial" w:cs="Arial"/>
          <w:color w:val="000000" w:themeColor="text1"/>
          <w:lang w:val="it-IT"/>
        </w:rPr>
        <w:t>. Di esso ne fanno parte</w:t>
      </w:r>
      <w:r>
        <w:rPr>
          <w:rFonts w:ascii="Arial" w:hAnsi="Arial" w:cs="Arial"/>
          <w:color w:val="000000" w:themeColor="text1"/>
          <w:lang w:val="it-IT"/>
        </w:rPr>
        <w:t xml:space="preserve"> </w:t>
      </w:r>
      <w:r w:rsidR="00C1635F">
        <w:rPr>
          <w:rFonts w:ascii="Arial" w:hAnsi="Arial" w:cs="Arial"/>
          <w:color w:val="000000" w:themeColor="text1"/>
          <w:lang w:val="it-IT"/>
        </w:rPr>
        <w:t xml:space="preserve">“I Malavoglia”, “Mastro don Gesualdo”, “La duchessa di </w:t>
      </w:r>
      <w:proofErr w:type="spellStart"/>
      <w:r w:rsidR="00C1635F">
        <w:rPr>
          <w:rFonts w:ascii="Arial" w:hAnsi="Arial" w:cs="Arial"/>
          <w:color w:val="000000" w:themeColor="text1"/>
          <w:lang w:val="it-IT"/>
        </w:rPr>
        <w:t>Leyra</w:t>
      </w:r>
      <w:proofErr w:type="spellEnd"/>
      <w:r w:rsidR="00C1635F">
        <w:rPr>
          <w:rFonts w:ascii="Arial" w:hAnsi="Arial" w:cs="Arial"/>
          <w:color w:val="000000" w:themeColor="text1"/>
          <w:lang w:val="it-IT"/>
        </w:rPr>
        <w:t>” (iniziato), “L’onorevole Scipioni” (non scritto), “</w:t>
      </w:r>
      <w:r>
        <w:rPr>
          <w:rFonts w:ascii="Arial" w:hAnsi="Arial" w:cs="Arial"/>
          <w:color w:val="000000" w:themeColor="text1"/>
          <w:lang w:val="it-IT"/>
        </w:rPr>
        <w:t>L’uomo di lusso” (non scritto).</w:t>
      </w:r>
    </w:p>
    <w:p w:rsidR="00CD6489" w:rsidRDefault="00CD6489" w:rsidP="00C1635F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Teatro, “</w:t>
      </w:r>
      <w:r w:rsidR="00E23B68">
        <w:rPr>
          <w:rFonts w:ascii="Arial" w:hAnsi="Arial" w:cs="Arial"/>
          <w:color w:val="000000" w:themeColor="text1"/>
          <w:lang w:val="it-IT"/>
        </w:rPr>
        <w:t>Cavalleria rusticana”</w:t>
      </w:r>
    </w:p>
    <w:p w:rsidR="00176E17" w:rsidRPr="0088475E" w:rsidRDefault="00176E17" w:rsidP="00176E17">
      <w:pPr>
        <w:pStyle w:val="Paragrafoelenco"/>
        <w:numPr>
          <w:ilvl w:val="0"/>
          <w:numId w:val="1"/>
        </w:numPr>
        <w:jc w:val="both"/>
        <w:rPr>
          <w:ins w:id="0" w:author="Windows User" w:date="2017-06-17T20:04:00Z"/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ULTIMA FASE</w:t>
      </w:r>
      <w:r w:rsidRPr="0088475E">
        <w:rPr>
          <w:rFonts w:ascii="Arial" w:hAnsi="Arial" w:cs="Arial"/>
          <w:color w:val="000000" w:themeColor="text1"/>
          <w:lang w:val="it-IT"/>
        </w:rPr>
        <w:t xml:space="preserve">: </w:t>
      </w:r>
      <w:ins w:id="1" w:author="Windows User" w:date="2017-06-17T20:02:00Z">
        <w:r w:rsidR="00E41EF8" w:rsidRPr="0088475E">
          <w:rPr>
            <w:rFonts w:ascii="Arial" w:hAnsi="Arial" w:cs="Arial"/>
            <w:color w:val="000000" w:themeColor="text1"/>
            <w:lang w:val="it-IT"/>
          </w:rPr>
          <w:t>formata da</w:t>
        </w:r>
      </w:ins>
      <w:ins w:id="2" w:author="Windows User" w:date="2017-06-17T20:04:00Z">
        <w:r w:rsidR="0088475E" w:rsidRPr="0088475E">
          <w:rPr>
            <w:rFonts w:ascii="Arial" w:hAnsi="Arial" w:cs="Arial"/>
            <w:color w:val="000000" w:themeColor="text1"/>
            <w:lang w:val="it-IT"/>
          </w:rPr>
          <w:t>lle ultime raccolte di novelle e dai drammi teatrali.</w:t>
        </w:r>
      </w:ins>
    </w:p>
    <w:p w:rsidR="0088475E" w:rsidRDefault="0088475E" w:rsidP="0088475E">
      <w:pPr>
        <w:pStyle w:val="Paragrafoelenco"/>
        <w:numPr>
          <w:ilvl w:val="0"/>
          <w:numId w:val="2"/>
        </w:numPr>
        <w:jc w:val="both"/>
        <w:rPr>
          <w:ins w:id="3" w:author="Windows User" w:date="2017-06-17T20:08:00Z"/>
          <w:rFonts w:ascii="Arial" w:hAnsi="Arial" w:cs="Arial"/>
          <w:color w:val="000000" w:themeColor="text1"/>
          <w:lang w:val="it-IT"/>
        </w:rPr>
        <w:pPrChange w:id="4" w:author="Windows User" w:date="2017-06-17T20:06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5" w:author="Windows User" w:date="2017-06-17T20:05:00Z">
        <w:r w:rsidRPr="0088475E">
          <w:rPr>
            <w:rFonts w:ascii="Arial" w:hAnsi="Arial" w:cs="Arial"/>
            <w:color w:val="000000" w:themeColor="text1"/>
            <w:lang w:val="it-IT"/>
          </w:rPr>
          <w:t>“La Lupa</w:t>
        </w:r>
      </w:ins>
      <w:ins w:id="6" w:author="Windows User" w:date="2017-06-17T20:06:00Z">
        <w:r w:rsidRPr="0088475E">
          <w:rPr>
            <w:rFonts w:ascii="Arial" w:hAnsi="Arial" w:cs="Arial"/>
            <w:color w:val="000000" w:themeColor="text1"/>
            <w:lang w:val="it-IT"/>
          </w:rPr>
          <w:t>”</w:t>
        </w:r>
      </w:ins>
      <w:ins w:id="7" w:author="Windows User" w:date="2017-06-17T20:08:00Z">
        <w:r>
          <w:rPr>
            <w:rFonts w:ascii="Arial" w:hAnsi="Arial" w:cs="Arial"/>
            <w:color w:val="000000" w:themeColor="text1"/>
            <w:lang w:val="it-IT"/>
          </w:rPr>
          <w:t xml:space="preserve"> </w:t>
        </w:r>
      </w:ins>
    </w:p>
    <w:p w:rsidR="0088475E" w:rsidRDefault="0088475E" w:rsidP="0088475E">
      <w:pPr>
        <w:jc w:val="both"/>
        <w:rPr>
          <w:ins w:id="8" w:author="Windows User" w:date="2017-06-17T20:08:00Z"/>
          <w:rFonts w:ascii="Arial" w:hAnsi="Arial" w:cs="Arial"/>
          <w:color w:val="000000" w:themeColor="text1"/>
          <w:lang w:val="it-IT"/>
        </w:rPr>
        <w:pPrChange w:id="9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ins w:id="10" w:author="Windows User" w:date="2017-06-17T20:08:00Z">
        <w:r>
          <w:rPr>
            <w:rFonts w:ascii="Arial" w:hAnsi="Arial" w:cs="Arial"/>
            <w:color w:val="000000" w:themeColor="text1"/>
            <w:u w:val="single"/>
            <w:lang w:val="it-IT"/>
          </w:rPr>
          <w:t>PENSIERO E POETICA</w:t>
        </w:r>
        <w:r>
          <w:rPr>
            <w:rFonts w:ascii="Arial" w:hAnsi="Arial" w:cs="Arial"/>
            <w:color w:val="000000" w:themeColor="text1"/>
            <w:lang w:val="it-IT"/>
          </w:rPr>
          <w:t>:</w:t>
        </w:r>
      </w:ins>
    </w:p>
    <w:p w:rsidR="0088475E" w:rsidRPr="0088475E" w:rsidRDefault="0088475E" w:rsidP="0088475E">
      <w:pPr>
        <w:jc w:val="both"/>
        <w:rPr>
          <w:rFonts w:ascii="Arial" w:hAnsi="Arial" w:cs="Arial"/>
          <w:color w:val="000000" w:themeColor="text1"/>
          <w:lang w:val="it-IT"/>
          <w:rPrChange w:id="11" w:author="Windows User" w:date="2017-06-17T20:08:00Z">
            <w:rPr>
              <w:lang w:val="it-IT"/>
            </w:rPr>
          </w:rPrChange>
        </w:rPr>
        <w:pPrChange w:id="12" w:author="Windows User" w:date="2017-06-17T20:08:00Z">
          <w:pPr>
            <w:pStyle w:val="Paragrafoelenco"/>
            <w:numPr>
              <w:numId w:val="1"/>
            </w:numPr>
            <w:ind w:hanging="360"/>
            <w:jc w:val="both"/>
          </w:pPr>
        </w:pPrChange>
      </w:pPr>
      <w:bookmarkStart w:id="13" w:name="_GoBack"/>
      <w:bookmarkEnd w:id="13"/>
    </w:p>
    <w:sectPr w:rsidR="0088475E" w:rsidRPr="008847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61439"/>
    <w:multiLevelType w:val="hybridMultilevel"/>
    <w:tmpl w:val="0E761C7E"/>
    <w:lvl w:ilvl="0" w:tplc="F85EDC2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4A2BC9"/>
    <w:multiLevelType w:val="hybridMultilevel"/>
    <w:tmpl w:val="F80817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ocumentProtection w:edit="trackedChange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5C"/>
    <w:rsid w:val="001174FE"/>
    <w:rsid w:val="00176E17"/>
    <w:rsid w:val="003C24F7"/>
    <w:rsid w:val="004C198B"/>
    <w:rsid w:val="007A4EF3"/>
    <w:rsid w:val="0088475E"/>
    <w:rsid w:val="0097455C"/>
    <w:rsid w:val="00A220CD"/>
    <w:rsid w:val="00C06C90"/>
    <w:rsid w:val="00C1635F"/>
    <w:rsid w:val="00CD6489"/>
    <w:rsid w:val="00E23B68"/>
    <w:rsid w:val="00E4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1F1B8-2C8D-47AB-843D-8E8A3AC7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635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4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475E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884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2017-06-17T16:41:00Z</dcterms:created>
  <dcterms:modified xsi:type="dcterms:W3CDTF">2017-06-17T18:09:00Z</dcterms:modified>
</cp:coreProperties>
</file>