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16</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October 2023</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September 2023 to November 2023.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contains information important to the company. It is critical that proper security measures are in place as it is valuable information to the company. Server down time would impact the business productivity.</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Perform reconnaissance and surveillance of</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organization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b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4">
      <w:pPr>
        <w:rPr/>
      </w:pPr>
      <w:r w:rsidDel="00000000" w:rsidR="00000000" w:rsidRPr="00000000">
        <w:rPr>
          <w:rtl w:val="0"/>
        </w:rPr>
        <w:t xml:space="preserve">There is a risk that an employee might alter or delete critical information as employees/customers regularly access data from the server. As the database has been open to the public since the company’s launch three years ago, competitors might have been assessing potential vulnerabilities over time using various tools. A hacker might also conduct a Denial of Service attack (DOS) which would impact business information availability.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