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NYC Power Outage EDA</w:t>
      </w:r>
    </w:p>
    <w:p>
      <w:pPr>
        <w:jc w:val="center"/>
      </w:pPr>
      <w:r>
        <w:rPr>
          <w:i/>
          <w:sz w:val="22"/>
        </w:rPr>
        <w:t>Methods and Findings by Notebook Part</w:t>
      </w:r>
    </w:p>
    <w:p>
      <w:r>
        <w:t>This document summarizes the executed EDA notebook for NYC power outages from 2014 to 2023. Each section below corresponds to a notebook part and states both the methodology and the main findings. The report emphasizes results that are supported by the notebook outputs, while distinguishing exploratory tract-level analysis from the corrected county-month and event-level models.</w:t>
      </w:r>
    </w:p>
    <w:p>
      <w:pPr>
        <w:pStyle w:val="Heading1"/>
      </w:pPr>
      <w:r>
        <w:t>Executive Summary</w:t>
      </w:r>
    </w:p>
    <w:p>
      <w:pPr>
        <w:pStyle w:val="ListBullet"/>
      </w:pPr>
      <w:r>
        <w:t>Severe weather is the most consistent outage driver. Rank-based tract tests find significant severe-weather association with outage occurrence in 1,008 of 2,168 tracts at FDR 0.05, while duration is not significantly associated at the tract level.</w:t>
      </w:r>
    </w:p>
    <w:p>
      <w:pPr>
        <w:pStyle w:val="ListBullet"/>
      </w:pPr>
      <w:r>
        <w:t>Seasonality is strong. Every year from 2014 through 2023 has a statistically significant month effect, and July appears as the hot month in three years.</w:t>
      </w:r>
    </w:p>
    <w:p>
      <w:pPr>
        <w:pStyle w:val="ListBullet"/>
      </w:pPr>
      <w:r>
        <w:t>Simple tract-year trend tests do not show significant long-run tract-level trends after FDR correction, even though raw annual totals vary sharply across years.</w:t>
      </w:r>
    </w:p>
    <w:p>
      <w:pPr>
        <w:pStyle w:val="ListBullet"/>
      </w:pPr>
      <w:r>
        <w:t>The most important data-structure finding is that outage outcomes are identical for all tracts within the same county-year. Tract-level regressions are therefore exploratory and should not be used as final CVI inference.</w:t>
      </w:r>
    </w:p>
    <w:p>
      <w:pPr>
        <w:pStyle w:val="ListBullet"/>
      </w:pPr>
      <w:r>
        <w:t>Negative Binomial models are preferred for outage counts. The Poisson county-year count model has overdispersion around 41.7 and much worse AIC than Negative Binomial.</w:t>
      </w:r>
    </w:p>
    <w:p>
      <w:pPr>
        <w:pStyle w:val="ListBullet"/>
      </w:pPr>
      <w:r>
        <w:t>The clearest vulnerability signal is social-economic CVI in frequency models, while the most robust overall predictor across duration and customer-hour outcomes remains severe weather.</w:t>
      </w:r>
    </w:p>
    <w:p>
      <w:pPr>
        <w:pStyle w:val="Heading1"/>
      </w:pPr>
      <w:r>
        <w:t>Study Scope and Data</w:t>
      </w:r>
    </w:p>
    <w:tbl>
      <w:tblPr>
        <w:tblStyle w:val="TableGrid"/>
        <w:tblW w:type="auto" w:w="0"/>
        <w:tblLook w:firstColumn="1" w:firstRow="1" w:lastColumn="0" w:lastRow="0" w:noHBand="0" w:noVBand="1" w:val="04A0"/>
      </w:tblPr>
      <w:tblGrid>
        <w:gridCol w:w="5040"/>
        <w:gridCol w:w="5040"/>
      </w:tblGrid>
      <w:tr>
        <w:tc>
          <w:tcPr>
            <w:tcW w:type="dxa" w:w="5040"/>
          </w:tcPr>
          <w:p>
            <w:r>
              <w:rPr>
                <w:rFonts w:ascii="Arial" w:hAnsi="Arial"/>
                <w:sz w:val="17"/>
              </w:rPr>
              <w:t>Item</w:t>
            </w:r>
          </w:p>
        </w:tc>
        <w:tc>
          <w:tcPr>
            <w:tcW w:type="dxa" w:w="5040"/>
          </w:tcPr>
          <w:p>
            <w:r>
              <w:rPr>
                <w:rFonts w:ascii="Arial" w:hAnsi="Arial"/>
                <w:sz w:val="17"/>
              </w:rPr>
              <w:t>Value</w:t>
            </w:r>
          </w:p>
        </w:tc>
      </w:tr>
      <w:tr>
        <w:tc>
          <w:tcPr>
            <w:tcW w:type="dxa" w:w="5040"/>
          </w:tcPr>
          <w:p>
            <w:r>
              <w:rPr>
                <w:rFonts w:ascii="Arial" w:hAnsi="Arial"/>
                <w:sz w:val="17"/>
              </w:rPr>
              <w:t>Study window</w:t>
            </w:r>
          </w:p>
        </w:tc>
        <w:tc>
          <w:tcPr>
            <w:tcW w:type="dxa" w:w="5040"/>
          </w:tcPr>
          <w:p>
            <w:r>
              <w:rPr>
                <w:rFonts w:ascii="Arial" w:hAnsi="Arial"/>
                <w:sz w:val="17"/>
              </w:rPr>
              <w:t>2014-2023</w:t>
            </w:r>
          </w:p>
        </w:tc>
      </w:tr>
      <w:tr>
        <w:tc>
          <w:tcPr>
            <w:tcW w:type="dxa" w:w="5040"/>
          </w:tcPr>
          <w:p>
            <w:r>
              <w:rPr>
                <w:rFonts w:ascii="Arial" w:hAnsi="Arial"/>
                <w:sz w:val="17"/>
              </w:rPr>
              <w:t>Geography</w:t>
            </w:r>
          </w:p>
        </w:tc>
        <w:tc>
          <w:tcPr>
            <w:tcW w:type="dxa" w:w="5040"/>
          </w:tcPr>
          <w:p>
            <w:r>
              <w:rPr>
                <w:rFonts w:ascii="Arial" w:hAnsi="Arial"/>
                <w:sz w:val="17"/>
              </w:rPr>
              <w:t>NYC five counties: Bronx, Brooklyn, Manhattan, Queens, Staten Island</w:t>
            </w:r>
          </w:p>
        </w:tc>
      </w:tr>
      <w:tr>
        <w:tc>
          <w:tcPr>
            <w:tcW w:type="dxa" w:w="5040"/>
          </w:tcPr>
          <w:p>
            <w:r>
              <w:rPr>
                <w:rFonts w:ascii="Arial" w:hAnsi="Arial"/>
                <w:sz w:val="17"/>
              </w:rPr>
              <w:t>Tract count</w:t>
            </w:r>
          </w:p>
        </w:tc>
        <w:tc>
          <w:tcPr>
            <w:tcW w:type="dxa" w:w="5040"/>
          </w:tcPr>
          <w:p>
            <w:r>
              <w:rPr>
                <w:rFonts w:ascii="Arial" w:hAnsi="Arial"/>
                <w:sz w:val="17"/>
              </w:rPr>
              <w:t>2,168 NYC tracts in the outage/CVI panel</w:t>
            </w:r>
          </w:p>
        </w:tc>
      </w:tr>
      <w:tr>
        <w:tc>
          <w:tcPr>
            <w:tcW w:type="dxa" w:w="5040"/>
          </w:tcPr>
          <w:p>
            <w:r>
              <w:rPr>
                <w:rFonts w:ascii="Arial" w:hAnsi="Arial"/>
                <w:sz w:val="17"/>
              </w:rPr>
              <w:t>Main frequency model level</w:t>
            </w:r>
          </w:p>
        </w:tc>
        <w:tc>
          <w:tcPr>
            <w:tcW w:type="dxa" w:w="5040"/>
          </w:tcPr>
          <w:p>
            <w:r>
              <w:rPr>
                <w:rFonts w:ascii="Arial" w:hAnsi="Arial"/>
                <w:sz w:val="17"/>
              </w:rPr>
              <w:t>County-month panel, 600 cells</w:t>
            </w:r>
          </w:p>
        </w:tc>
      </w:tr>
      <w:tr>
        <w:tc>
          <w:tcPr>
            <w:tcW w:type="dxa" w:w="5040"/>
          </w:tcPr>
          <w:p>
            <w:r>
              <w:rPr>
                <w:rFonts w:ascii="Arial" w:hAnsi="Arial"/>
                <w:sz w:val="17"/>
              </w:rPr>
              <w:t>County-year diagnostic level</w:t>
            </w:r>
          </w:p>
        </w:tc>
        <w:tc>
          <w:tcPr>
            <w:tcW w:type="dxa" w:w="5040"/>
          </w:tcPr>
          <w:p>
            <w:r>
              <w:rPr>
                <w:rFonts w:ascii="Arial" w:hAnsi="Arial"/>
                <w:sz w:val="17"/>
              </w:rPr>
              <w:t>50 county-year cells, with 47 observed county-year cells in consistency checks</w:t>
            </w:r>
          </w:p>
        </w:tc>
      </w:tr>
      <w:tr>
        <w:tc>
          <w:tcPr>
            <w:tcW w:type="dxa" w:w="5040"/>
          </w:tcPr>
          <w:p>
            <w:r>
              <w:rPr>
                <w:rFonts w:ascii="Arial" w:hAnsi="Arial"/>
                <w:sz w:val="17"/>
              </w:rPr>
              <w:t>Event-level duration model</w:t>
            </w:r>
          </w:p>
        </w:tc>
        <w:tc>
          <w:tcPr>
            <w:tcW w:type="dxa" w:w="5040"/>
          </w:tcPr>
          <w:p>
            <w:r>
              <w:rPr>
                <w:rFonts w:ascii="Arial" w:hAnsi="Arial"/>
                <w:sz w:val="17"/>
              </w:rPr>
              <w:t>4,518 deduplicated outage events</w:t>
            </w:r>
          </w:p>
        </w:tc>
      </w:tr>
      <w:tr>
        <w:tc>
          <w:tcPr>
            <w:tcW w:type="dxa" w:w="5040"/>
          </w:tcPr>
          <w:p>
            <w:r>
              <w:rPr>
                <w:rFonts w:ascii="Arial" w:hAnsi="Arial"/>
                <w:sz w:val="17"/>
              </w:rPr>
              <w:t>Core predictors</w:t>
            </w:r>
          </w:p>
        </w:tc>
        <w:tc>
          <w:tcPr>
            <w:tcW w:type="dxa" w:w="5040"/>
          </w:tcPr>
          <w:p>
            <w:r>
              <w:rPr>
                <w:rFonts w:ascii="Arial" w:hAnsi="Arial"/>
                <w:sz w:val="17"/>
              </w:rPr>
              <w:t>Year, month, severe weather, customer impact, and CVI measures</w:t>
            </w:r>
          </w:p>
        </w:tc>
      </w:tr>
    </w:tbl>
    <w:p>
      <w:pPr>
        <w:pStyle w:val="Heading1"/>
      </w:pPr>
      <w:r>
        <w:t>Part 0: Load, Clean, and NYC Filter</w:t>
      </w:r>
    </w:p>
    <w:p>
      <w:r>
        <w:t>Methodology. The notebook standardizes county and tract FIPS codes, parses outage start times, extracts year and month, converts duration to numeric hours, flags severe-weather events from outage event type, and filters to the five NYC counties for 2014-2023.</w:t>
      </w:r>
    </w:p>
    <w:p>
      <w:r>
        <w:t>Findings. The cleaned data show large year-to-year variation. Total outage rows peak in 2018 with 667,269 outage rows, and average duration peaks in 2020 at 7.98 hours. Severe-weather share is highest in 2018 at 32.3%, followed by 2022 at 20.0% and 2019 at 17.4%. Early years 2014-2016 have no severe-weather flagged rows in this merged file.</w:t>
      </w:r>
    </w:p>
    <w:p>
      <w:pPr>
        <w:pStyle w:val="Heading2"/>
      </w:pPr>
      <w:r>
        <w:t>Part 0 Year Summary</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rFonts w:ascii="Arial" w:hAnsi="Arial"/>
                <w:sz w:val="17"/>
              </w:rPr>
              <w:t>Year</w:t>
            </w:r>
          </w:p>
        </w:tc>
        <w:tc>
          <w:tcPr>
            <w:tcW w:type="dxa" w:w="2520"/>
          </w:tcPr>
          <w:p>
            <w:r>
              <w:rPr>
                <w:rFonts w:ascii="Arial" w:hAnsi="Arial"/>
                <w:sz w:val="17"/>
              </w:rPr>
              <w:t>Total outages</w:t>
            </w:r>
          </w:p>
        </w:tc>
        <w:tc>
          <w:tcPr>
            <w:tcW w:type="dxa" w:w="2520"/>
          </w:tcPr>
          <w:p>
            <w:r>
              <w:rPr>
                <w:rFonts w:ascii="Arial" w:hAnsi="Arial"/>
                <w:sz w:val="17"/>
              </w:rPr>
              <w:t>Severe-weather share</w:t>
            </w:r>
          </w:p>
        </w:tc>
        <w:tc>
          <w:tcPr>
            <w:tcW w:type="dxa" w:w="2520"/>
          </w:tcPr>
          <w:p>
            <w:r>
              <w:rPr>
                <w:rFonts w:ascii="Arial" w:hAnsi="Arial"/>
                <w:sz w:val="17"/>
              </w:rPr>
              <w:t>Avg duration (h)</w:t>
            </w:r>
          </w:p>
        </w:tc>
      </w:tr>
      <w:tr>
        <w:tc>
          <w:tcPr>
            <w:tcW w:type="dxa" w:w="2520"/>
          </w:tcPr>
          <w:p>
            <w:r>
              <w:rPr>
                <w:rFonts w:ascii="Arial" w:hAnsi="Arial"/>
                <w:sz w:val="17"/>
              </w:rPr>
              <w:t>2014</w:t>
            </w:r>
          </w:p>
        </w:tc>
        <w:tc>
          <w:tcPr>
            <w:tcW w:type="dxa" w:w="2520"/>
          </w:tcPr>
          <w:p>
            <w:r>
              <w:rPr>
                <w:rFonts w:ascii="Arial" w:hAnsi="Arial"/>
                <w:sz w:val="17"/>
              </w:rPr>
              <w:t>17,171</w:t>
            </w:r>
          </w:p>
        </w:tc>
        <w:tc>
          <w:tcPr>
            <w:tcW w:type="dxa" w:w="2520"/>
          </w:tcPr>
          <w:p>
            <w:r>
              <w:rPr>
                <w:rFonts w:ascii="Arial" w:hAnsi="Arial"/>
                <w:sz w:val="17"/>
              </w:rPr>
              <w:t>0.0%</w:t>
            </w:r>
          </w:p>
        </w:tc>
        <w:tc>
          <w:tcPr>
            <w:tcW w:type="dxa" w:w="2520"/>
          </w:tcPr>
          <w:p>
            <w:r>
              <w:rPr>
                <w:rFonts w:ascii="Arial" w:hAnsi="Arial"/>
                <w:sz w:val="17"/>
              </w:rPr>
              <w:t>1.75</w:t>
            </w:r>
          </w:p>
        </w:tc>
      </w:tr>
      <w:tr>
        <w:tc>
          <w:tcPr>
            <w:tcW w:type="dxa" w:w="2520"/>
          </w:tcPr>
          <w:p>
            <w:r>
              <w:rPr>
                <w:rFonts w:ascii="Arial" w:hAnsi="Arial"/>
                <w:sz w:val="17"/>
              </w:rPr>
              <w:t>2015</w:t>
            </w:r>
          </w:p>
        </w:tc>
        <w:tc>
          <w:tcPr>
            <w:tcW w:type="dxa" w:w="2520"/>
          </w:tcPr>
          <w:p>
            <w:r>
              <w:rPr>
                <w:rFonts w:ascii="Arial" w:hAnsi="Arial"/>
                <w:sz w:val="17"/>
              </w:rPr>
              <w:t>280,690</w:t>
            </w:r>
          </w:p>
        </w:tc>
        <w:tc>
          <w:tcPr>
            <w:tcW w:type="dxa" w:w="2520"/>
          </w:tcPr>
          <w:p>
            <w:r>
              <w:rPr>
                <w:rFonts w:ascii="Arial" w:hAnsi="Arial"/>
                <w:sz w:val="17"/>
              </w:rPr>
              <w:t>0.0%</w:t>
            </w:r>
          </w:p>
        </w:tc>
        <w:tc>
          <w:tcPr>
            <w:tcW w:type="dxa" w:w="2520"/>
          </w:tcPr>
          <w:p>
            <w:r>
              <w:rPr>
                <w:rFonts w:ascii="Arial" w:hAnsi="Arial"/>
                <w:sz w:val="17"/>
              </w:rPr>
              <w:t>4.11</w:t>
            </w:r>
          </w:p>
        </w:tc>
      </w:tr>
      <w:tr>
        <w:tc>
          <w:tcPr>
            <w:tcW w:type="dxa" w:w="2520"/>
          </w:tcPr>
          <w:p>
            <w:r>
              <w:rPr>
                <w:rFonts w:ascii="Arial" w:hAnsi="Arial"/>
                <w:sz w:val="17"/>
              </w:rPr>
              <w:t>2016</w:t>
            </w:r>
          </w:p>
        </w:tc>
        <w:tc>
          <w:tcPr>
            <w:tcW w:type="dxa" w:w="2520"/>
          </w:tcPr>
          <w:p>
            <w:r>
              <w:rPr>
                <w:rFonts w:ascii="Arial" w:hAnsi="Arial"/>
                <w:sz w:val="17"/>
              </w:rPr>
              <w:t>296,277</w:t>
            </w:r>
          </w:p>
        </w:tc>
        <w:tc>
          <w:tcPr>
            <w:tcW w:type="dxa" w:w="2520"/>
          </w:tcPr>
          <w:p>
            <w:r>
              <w:rPr>
                <w:rFonts w:ascii="Arial" w:hAnsi="Arial"/>
                <w:sz w:val="17"/>
              </w:rPr>
              <w:t>0.0%</w:t>
            </w:r>
          </w:p>
        </w:tc>
        <w:tc>
          <w:tcPr>
            <w:tcW w:type="dxa" w:w="2520"/>
          </w:tcPr>
          <w:p>
            <w:r>
              <w:rPr>
                <w:rFonts w:ascii="Arial" w:hAnsi="Arial"/>
                <w:sz w:val="17"/>
              </w:rPr>
              <w:t>2.91</w:t>
            </w:r>
          </w:p>
        </w:tc>
      </w:tr>
      <w:tr>
        <w:tc>
          <w:tcPr>
            <w:tcW w:type="dxa" w:w="2520"/>
          </w:tcPr>
          <w:p>
            <w:r>
              <w:rPr>
                <w:rFonts w:ascii="Arial" w:hAnsi="Arial"/>
                <w:sz w:val="17"/>
              </w:rPr>
              <w:t>2017</w:t>
            </w:r>
          </w:p>
        </w:tc>
        <w:tc>
          <w:tcPr>
            <w:tcW w:type="dxa" w:w="2520"/>
          </w:tcPr>
          <w:p>
            <w:r>
              <w:rPr>
                <w:rFonts w:ascii="Arial" w:hAnsi="Arial"/>
                <w:sz w:val="17"/>
              </w:rPr>
              <w:t>227,010</w:t>
            </w:r>
          </w:p>
        </w:tc>
        <w:tc>
          <w:tcPr>
            <w:tcW w:type="dxa" w:w="2520"/>
          </w:tcPr>
          <w:p>
            <w:r>
              <w:rPr>
                <w:rFonts w:ascii="Arial" w:hAnsi="Arial"/>
                <w:sz w:val="17"/>
              </w:rPr>
              <w:t>0.7%</w:t>
            </w:r>
          </w:p>
        </w:tc>
        <w:tc>
          <w:tcPr>
            <w:tcW w:type="dxa" w:w="2520"/>
          </w:tcPr>
          <w:p>
            <w:r>
              <w:rPr>
                <w:rFonts w:ascii="Arial" w:hAnsi="Arial"/>
                <w:sz w:val="17"/>
              </w:rPr>
              <w:t>3.35</w:t>
            </w:r>
          </w:p>
        </w:tc>
      </w:tr>
      <w:tr>
        <w:tc>
          <w:tcPr>
            <w:tcW w:type="dxa" w:w="2520"/>
          </w:tcPr>
          <w:p>
            <w:r>
              <w:rPr>
                <w:rFonts w:ascii="Arial" w:hAnsi="Arial"/>
                <w:sz w:val="17"/>
              </w:rPr>
              <w:t>2018</w:t>
            </w:r>
          </w:p>
        </w:tc>
        <w:tc>
          <w:tcPr>
            <w:tcW w:type="dxa" w:w="2520"/>
          </w:tcPr>
          <w:p>
            <w:r>
              <w:rPr>
                <w:rFonts w:ascii="Arial" w:hAnsi="Arial"/>
                <w:sz w:val="17"/>
              </w:rPr>
              <w:t>667,269</w:t>
            </w:r>
          </w:p>
        </w:tc>
        <w:tc>
          <w:tcPr>
            <w:tcW w:type="dxa" w:w="2520"/>
          </w:tcPr>
          <w:p>
            <w:r>
              <w:rPr>
                <w:rFonts w:ascii="Arial" w:hAnsi="Arial"/>
                <w:sz w:val="17"/>
              </w:rPr>
              <w:t>32.3%</w:t>
            </w:r>
          </w:p>
        </w:tc>
        <w:tc>
          <w:tcPr>
            <w:tcW w:type="dxa" w:w="2520"/>
          </w:tcPr>
          <w:p>
            <w:r>
              <w:rPr>
                <w:rFonts w:ascii="Arial" w:hAnsi="Arial"/>
                <w:sz w:val="17"/>
              </w:rPr>
              <w:t>3.60</w:t>
            </w:r>
          </w:p>
        </w:tc>
      </w:tr>
      <w:tr>
        <w:tc>
          <w:tcPr>
            <w:tcW w:type="dxa" w:w="2520"/>
          </w:tcPr>
          <w:p>
            <w:r>
              <w:rPr>
                <w:rFonts w:ascii="Arial" w:hAnsi="Arial"/>
                <w:sz w:val="17"/>
              </w:rPr>
              <w:t>2019</w:t>
            </w:r>
          </w:p>
        </w:tc>
        <w:tc>
          <w:tcPr>
            <w:tcW w:type="dxa" w:w="2520"/>
          </w:tcPr>
          <w:p>
            <w:r>
              <w:rPr>
                <w:rFonts w:ascii="Arial" w:hAnsi="Arial"/>
                <w:sz w:val="17"/>
              </w:rPr>
              <w:t>306,579</w:t>
            </w:r>
          </w:p>
        </w:tc>
        <w:tc>
          <w:tcPr>
            <w:tcW w:type="dxa" w:w="2520"/>
          </w:tcPr>
          <w:p>
            <w:r>
              <w:rPr>
                <w:rFonts w:ascii="Arial" w:hAnsi="Arial"/>
                <w:sz w:val="17"/>
              </w:rPr>
              <w:t>17.4%</w:t>
            </w:r>
          </w:p>
        </w:tc>
        <w:tc>
          <w:tcPr>
            <w:tcW w:type="dxa" w:w="2520"/>
          </w:tcPr>
          <w:p>
            <w:r>
              <w:rPr>
                <w:rFonts w:ascii="Arial" w:hAnsi="Arial"/>
                <w:sz w:val="17"/>
              </w:rPr>
              <w:t>4.08</w:t>
            </w:r>
          </w:p>
        </w:tc>
      </w:tr>
      <w:tr>
        <w:tc>
          <w:tcPr>
            <w:tcW w:type="dxa" w:w="2520"/>
          </w:tcPr>
          <w:p>
            <w:r>
              <w:rPr>
                <w:rFonts w:ascii="Arial" w:hAnsi="Arial"/>
                <w:sz w:val="17"/>
              </w:rPr>
              <w:t>2020</w:t>
            </w:r>
          </w:p>
        </w:tc>
        <w:tc>
          <w:tcPr>
            <w:tcW w:type="dxa" w:w="2520"/>
          </w:tcPr>
          <w:p>
            <w:r>
              <w:rPr>
                <w:rFonts w:ascii="Arial" w:hAnsi="Arial"/>
                <w:sz w:val="17"/>
              </w:rPr>
              <w:t>274,108</w:t>
            </w:r>
          </w:p>
        </w:tc>
        <w:tc>
          <w:tcPr>
            <w:tcW w:type="dxa" w:w="2520"/>
          </w:tcPr>
          <w:p>
            <w:r>
              <w:rPr>
                <w:rFonts w:ascii="Arial" w:hAnsi="Arial"/>
                <w:sz w:val="17"/>
              </w:rPr>
              <w:t>10.9%</w:t>
            </w:r>
          </w:p>
        </w:tc>
        <w:tc>
          <w:tcPr>
            <w:tcW w:type="dxa" w:w="2520"/>
          </w:tcPr>
          <w:p>
            <w:r>
              <w:rPr>
                <w:rFonts w:ascii="Arial" w:hAnsi="Arial"/>
                <w:sz w:val="17"/>
              </w:rPr>
              <w:t>7.98</w:t>
            </w:r>
          </w:p>
        </w:tc>
      </w:tr>
      <w:tr>
        <w:tc>
          <w:tcPr>
            <w:tcW w:type="dxa" w:w="2520"/>
          </w:tcPr>
          <w:p>
            <w:r>
              <w:rPr>
                <w:rFonts w:ascii="Arial" w:hAnsi="Arial"/>
                <w:sz w:val="17"/>
              </w:rPr>
              <w:t>2021</w:t>
            </w:r>
          </w:p>
        </w:tc>
        <w:tc>
          <w:tcPr>
            <w:tcW w:type="dxa" w:w="2520"/>
          </w:tcPr>
          <w:p>
            <w:r>
              <w:rPr>
                <w:rFonts w:ascii="Arial" w:hAnsi="Arial"/>
                <w:sz w:val="17"/>
              </w:rPr>
              <w:t>319,416</w:t>
            </w:r>
          </w:p>
        </w:tc>
        <w:tc>
          <w:tcPr>
            <w:tcW w:type="dxa" w:w="2520"/>
          </w:tcPr>
          <w:p>
            <w:r>
              <w:rPr>
                <w:rFonts w:ascii="Arial" w:hAnsi="Arial"/>
                <w:sz w:val="17"/>
              </w:rPr>
              <w:t>0.1%</w:t>
            </w:r>
          </w:p>
        </w:tc>
        <w:tc>
          <w:tcPr>
            <w:tcW w:type="dxa" w:w="2520"/>
          </w:tcPr>
          <w:p>
            <w:r>
              <w:rPr>
                <w:rFonts w:ascii="Arial" w:hAnsi="Arial"/>
                <w:sz w:val="17"/>
              </w:rPr>
              <w:t>4.12</w:t>
            </w:r>
          </w:p>
        </w:tc>
      </w:tr>
      <w:tr>
        <w:tc>
          <w:tcPr>
            <w:tcW w:type="dxa" w:w="2520"/>
          </w:tcPr>
          <w:p>
            <w:r>
              <w:rPr>
                <w:rFonts w:ascii="Arial" w:hAnsi="Arial"/>
                <w:sz w:val="17"/>
              </w:rPr>
              <w:t>2022</w:t>
            </w:r>
          </w:p>
        </w:tc>
        <w:tc>
          <w:tcPr>
            <w:tcW w:type="dxa" w:w="2520"/>
          </w:tcPr>
          <w:p>
            <w:r>
              <w:rPr>
                <w:rFonts w:ascii="Arial" w:hAnsi="Arial"/>
                <w:sz w:val="17"/>
              </w:rPr>
              <w:t>587,220</w:t>
            </w:r>
          </w:p>
        </w:tc>
        <w:tc>
          <w:tcPr>
            <w:tcW w:type="dxa" w:w="2520"/>
          </w:tcPr>
          <w:p>
            <w:r>
              <w:rPr>
                <w:rFonts w:ascii="Arial" w:hAnsi="Arial"/>
                <w:sz w:val="17"/>
              </w:rPr>
              <w:t>20.0%</w:t>
            </w:r>
          </w:p>
        </w:tc>
        <w:tc>
          <w:tcPr>
            <w:tcW w:type="dxa" w:w="2520"/>
          </w:tcPr>
          <w:p>
            <w:r>
              <w:rPr>
                <w:rFonts w:ascii="Arial" w:hAnsi="Arial"/>
                <w:sz w:val="17"/>
              </w:rPr>
              <w:t>2.10</w:t>
            </w:r>
          </w:p>
        </w:tc>
      </w:tr>
      <w:tr>
        <w:tc>
          <w:tcPr>
            <w:tcW w:type="dxa" w:w="2520"/>
          </w:tcPr>
          <w:p>
            <w:r>
              <w:rPr>
                <w:rFonts w:ascii="Arial" w:hAnsi="Arial"/>
                <w:sz w:val="17"/>
              </w:rPr>
              <w:t>2023</w:t>
            </w:r>
          </w:p>
        </w:tc>
        <w:tc>
          <w:tcPr>
            <w:tcW w:type="dxa" w:w="2520"/>
          </w:tcPr>
          <w:p>
            <w:r>
              <w:rPr>
                <w:rFonts w:ascii="Arial" w:hAnsi="Arial"/>
                <w:sz w:val="17"/>
              </w:rPr>
              <w:t>225,135</w:t>
            </w:r>
          </w:p>
        </w:tc>
        <w:tc>
          <w:tcPr>
            <w:tcW w:type="dxa" w:w="2520"/>
          </w:tcPr>
          <w:p>
            <w:r>
              <w:rPr>
                <w:rFonts w:ascii="Arial" w:hAnsi="Arial"/>
                <w:sz w:val="17"/>
              </w:rPr>
              <w:t>1.3%</w:t>
            </w:r>
          </w:p>
        </w:tc>
        <w:tc>
          <w:tcPr>
            <w:tcW w:type="dxa" w:w="2520"/>
          </w:tcPr>
          <w:p>
            <w:r>
              <w:rPr>
                <w:rFonts w:ascii="Arial" w:hAnsi="Arial"/>
                <w:sz w:val="17"/>
              </w:rPr>
              <w:t>2.25</w:t>
            </w:r>
          </w:p>
        </w:tc>
      </w:tr>
    </w:tbl>
    <w:p>
      <w:pPr>
        <w:pStyle w:val="Heading1"/>
      </w:pPr>
      <w:r>
        <w:t>Part 1: Severe Weather vs. Outage Occurrence and Duration</w:t>
      </w:r>
    </w:p>
    <w:p>
      <w:r>
        <w:t>Methodology. Part 1 fits per-tract models relating outage occurrence and log duration to severe-weather counts. The section includes OLS models and a Poisson direction check, with FDR correction across tracts.</w:t>
      </w:r>
    </w:p>
    <w:p>
      <w:r>
        <w:t>Findings. The occurrence relationship is strong and positive. In the OLS screen, 1,769 of 2,168 tracts are significant at FDR 0.05, and all estimated occurrence slopes are positive. The median severe-weather coefficient is about 2.32. This supports severe weather as a major driver of outage occurrence. The duration relationship is not supported at tract level.</w:t>
      </w:r>
    </w:p>
    <w:p>
      <w:pPr>
        <w:pStyle w:val="Heading1"/>
      </w:pPr>
      <w:r>
        <w:t>Part 2: Outage Occurrence and Duration Trends Over Years</w:t>
      </w:r>
    </w:p>
    <w:p>
      <w:r>
        <w:t>Methodology. Part 2 estimates per-tract year trends using OLS slopes and robust nonparametric checks with Kendall tau and Theil-Sen slopes. FDR correction is applied to occurrence and duration trend p-values.</w:t>
      </w:r>
    </w:p>
    <w:p>
      <w:r>
        <w:t>Findings. After FDR correction, no tract has a significant occurrence trend and no tract has a significant duration trend at the 0.05 level. Median raw slopes are positive, about 7.72 additional outage rows per year and 0.046 log-duration units per year, but these slopes are not statistically robust after multiple-testing correction. The finding is therefore temporal variability, not a stable tract-level trend.</w:t>
      </w:r>
    </w:p>
    <w:p>
      <w:pPr>
        <w:pStyle w:val="Heading1"/>
      </w:pPr>
      <w:r>
        <w:t>Part 3: Month Effect in Each Year</w:t>
      </w:r>
    </w:p>
    <w:p>
      <w:r>
        <w:t>Methodology. Part 3 performs year-specific chi-square goodness-of-fit tests, with expected monthly counts proportional to days in month. FDR-adjusted standardized residuals identify hot months.</w:t>
      </w:r>
    </w:p>
    <w:p>
      <w:r>
        <w:t>Findings. All 10 study years have statistically significant month effects. The strongest hot month varies by year: November in 2014, June in 2015, September in 2016, March in 2017 and 2018, July in 2019, 2020, and 2023, February in 2021, and April in 2022. July is the most frequent hot month, appearing in three years. Seasonality is therefore a central feature of the outage process.</w:t>
      </w:r>
    </w:p>
    <w:p>
      <w:pPr>
        <w:pStyle w:val="Heading2"/>
      </w:pPr>
      <w:r>
        <w:t>Part 3 Hot Months</w:t>
      </w:r>
    </w:p>
    <w:tbl>
      <w:tblPr>
        <w:tblStyle w:val="TableGrid"/>
        <w:tblW w:type="auto" w:w="0"/>
        <w:tblLook w:firstColumn="1" w:firstRow="1" w:lastColumn="0" w:lastRow="0" w:noHBand="0" w:noVBand="1" w:val="04A0"/>
      </w:tblPr>
      <w:tblGrid>
        <w:gridCol w:w="3360"/>
        <w:gridCol w:w="3360"/>
        <w:gridCol w:w="3360"/>
      </w:tblGrid>
      <w:tr>
        <w:tc>
          <w:tcPr>
            <w:tcW w:type="dxa" w:w="3360"/>
          </w:tcPr>
          <w:p>
            <w:r>
              <w:rPr>
                <w:rFonts w:ascii="Arial" w:hAnsi="Arial"/>
                <w:sz w:val="17"/>
              </w:rPr>
              <w:t>Year</w:t>
            </w:r>
          </w:p>
        </w:tc>
        <w:tc>
          <w:tcPr>
            <w:tcW w:type="dxa" w:w="3360"/>
          </w:tcPr>
          <w:p>
            <w:r>
              <w:rPr>
                <w:rFonts w:ascii="Arial" w:hAnsi="Arial"/>
                <w:sz w:val="17"/>
              </w:rPr>
              <w:t>Hot month</w:t>
            </w:r>
          </w:p>
        </w:tc>
        <w:tc>
          <w:tcPr>
            <w:tcW w:type="dxa" w:w="3360"/>
          </w:tcPr>
          <w:p>
            <w:r>
              <w:rPr>
                <w:rFonts w:ascii="Arial" w:hAnsi="Arial"/>
                <w:sz w:val="17"/>
              </w:rPr>
              <w:t>Observed count</w:t>
            </w:r>
          </w:p>
        </w:tc>
      </w:tr>
      <w:tr>
        <w:tc>
          <w:tcPr>
            <w:tcW w:type="dxa" w:w="3360"/>
          </w:tcPr>
          <w:p>
            <w:r>
              <w:rPr>
                <w:rFonts w:ascii="Arial" w:hAnsi="Arial"/>
                <w:sz w:val="17"/>
              </w:rPr>
              <w:t>2014</w:t>
            </w:r>
          </w:p>
        </w:tc>
        <w:tc>
          <w:tcPr>
            <w:tcW w:type="dxa" w:w="3360"/>
          </w:tcPr>
          <w:p>
            <w:r>
              <w:rPr>
                <w:rFonts w:ascii="Arial" w:hAnsi="Arial"/>
                <w:sz w:val="17"/>
              </w:rPr>
              <w:t>November</w:t>
            </w:r>
          </w:p>
        </w:tc>
        <w:tc>
          <w:tcPr>
            <w:tcW w:type="dxa" w:w="3360"/>
          </w:tcPr>
          <w:p>
            <w:r>
              <w:rPr>
                <w:rFonts w:ascii="Arial" w:hAnsi="Arial"/>
                <w:sz w:val="17"/>
              </w:rPr>
              <w:t>11,715</w:t>
            </w:r>
          </w:p>
        </w:tc>
      </w:tr>
      <w:tr>
        <w:tc>
          <w:tcPr>
            <w:tcW w:type="dxa" w:w="3360"/>
          </w:tcPr>
          <w:p>
            <w:r>
              <w:rPr>
                <w:rFonts w:ascii="Arial" w:hAnsi="Arial"/>
                <w:sz w:val="17"/>
              </w:rPr>
              <w:t>2015</w:t>
            </w:r>
          </w:p>
        </w:tc>
        <w:tc>
          <w:tcPr>
            <w:tcW w:type="dxa" w:w="3360"/>
          </w:tcPr>
          <w:p>
            <w:r>
              <w:rPr>
                <w:rFonts w:ascii="Arial" w:hAnsi="Arial"/>
                <w:sz w:val="17"/>
              </w:rPr>
              <w:t>June</w:t>
            </w:r>
          </w:p>
        </w:tc>
        <w:tc>
          <w:tcPr>
            <w:tcW w:type="dxa" w:w="3360"/>
          </w:tcPr>
          <w:p>
            <w:r>
              <w:rPr>
                <w:rFonts w:ascii="Arial" w:hAnsi="Arial"/>
                <w:sz w:val="17"/>
              </w:rPr>
              <w:t>48,404</w:t>
            </w:r>
          </w:p>
        </w:tc>
      </w:tr>
      <w:tr>
        <w:tc>
          <w:tcPr>
            <w:tcW w:type="dxa" w:w="3360"/>
          </w:tcPr>
          <w:p>
            <w:r>
              <w:rPr>
                <w:rFonts w:ascii="Arial" w:hAnsi="Arial"/>
                <w:sz w:val="17"/>
              </w:rPr>
              <w:t>2016</w:t>
            </w:r>
          </w:p>
        </w:tc>
        <w:tc>
          <w:tcPr>
            <w:tcW w:type="dxa" w:w="3360"/>
          </w:tcPr>
          <w:p>
            <w:r>
              <w:rPr>
                <w:rFonts w:ascii="Arial" w:hAnsi="Arial"/>
                <w:sz w:val="17"/>
              </w:rPr>
              <w:t>September</w:t>
            </w:r>
          </w:p>
        </w:tc>
        <w:tc>
          <w:tcPr>
            <w:tcW w:type="dxa" w:w="3360"/>
          </w:tcPr>
          <w:p>
            <w:r>
              <w:rPr>
                <w:rFonts w:ascii="Arial" w:hAnsi="Arial"/>
                <w:sz w:val="17"/>
              </w:rPr>
              <w:t>77,368</w:t>
            </w:r>
          </w:p>
        </w:tc>
      </w:tr>
      <w:tr>
        <w:tc>
          <w:tcPr>
            <w:tcW w:type="dxa" w:w="3360"/>
          </w:tcPr>
          <w:p>
            <w:r>
              <w:rPr>
                <w:rFonts w:ascii="Arial" w:hAnsi="Arial"/>
                <w:sz w:val="17"/>
              </w:rPr>
              <w:t>2017</w:t>
            </w:r>
          </w:p>
        </w:tc>
        <w:tc>
          <w:tcPr>
            <w:tcW w:type="dxa" w:w="3360"/>
          </w:tcPr>
          <w:p>
            <w:r>
              <w:rPr>
                <w:rFonts w:ascii="Arial" w:hAnsi="Arial"/>
                <w:sz w:val="17"/>
              </w:rPr>
              <w:t>March</w:t>
            </w:r>
          </w:p>
        </w:tc>
        <w:tc>
          <w:tcPr>
            <w:tcW w:type="dxa" w:w="3360"/>
          </w:tcPr>
          <w:p>
            <w:r>
              <w:rPr>
                <w:rFonts w:ascii="Arial" w:hAnsi="Arial"/>
                <w:sz w:val="17"/>
              </w:rPr>
              <w:t>36,381</w:t>
            </w:r>
          </w:p>
        </w:tc>
      </w:tr>
      <w:tr>
        <w:tc>
          <w:tcPr>
            <w:tcW w:type="dxa" w:w="3360"/>
          </w:tcPr>
          <w:p>
            <w:r>
              <w:rPr>
                <w:rFonts w:ascii="Arial" w:hAnsi="Arial"/>
                <w:sz w:val="17"/>
              </w:rPr>
              <w:t>2018</w:t>
            </w:r>
          </w:p>
        </w:tc>
        <w:tc>
          <w:tcPr>
            <w:tcW w:type="dxa" w:w="3360"/>
          </w:tcPr>
          <w:p>
            <w:r>
              <w:rPr>
                <w:rFonts w:ascii="Arial" w:hAnsi="Arial"/>
                <w:sz w:val="17"/>
              </w:rPr>
              <w:t>March</w:t>
            </w:r>
          </w:p>
        </w:tc>
        <w:tc>
          <w:tcPr>
            <w:tcW w:type="dxa" w:w="3360"/>
          </w:tcPr>
          <w:p>
            <w:r>
              <w:rPr>
                <w:rFonts w:ascii="Arial" w:hAnsi="Arial"/>
                <w:sz w:val="17"/>
              </w:rPr>
              <w:t>241,848</w:t>
            </w:r>
          </w:p>
        </w:tc>
      </w:tr>
      <w:tr>
        <w:tc>
          <w:tcPr>
            <w:tcW w:type="dxa" w:w="3360"/>
          </w:tcPr>
          <w:p>
            <w:r>
              <w:rPr>
                <w:rFonts w:ascii="Arial" w:hAnsi="Arial"/>
                <w:sz w:val="17"/>
              </w:rPr>
              <w:t>2019</w:t>
            </w:r>
          </w:p>
        </w:tc>
        <w:tc>
          <w:tcPr>
            <w:tcW w:type="dxa" w:w="3360"/>
          </w:tcPr>
          <w:p>
            <w:r>
              <w:rPr>
                <w:rFonts w:ascii="Arial" w:hAnsi="Arial"/>
                <w:sz w:val="17"/>
              </w:rPr>
              <w:t>July</w:t>
            </w:r>
          </w:p>
        </w:tc>
        <w:tc>
          <w:tcPr>
            <w:tcW w:type="dxa" w:w="3360"/>
          </w:tcPr>
          <w:p>
            <w:r>
              <w:rPr>
                <w:rFonts w:ascii="Arial" w:hAnsi="Arial"/>
                <w:sz w:val="17"/>
              </w:rPr>
              <w:t>74,972</w:t>
            </w:r>
          </w:p>
        </w:tc>
      </w:tr>
      <w:tr>
        <w:tc>
          <w:tcPr>
            <w:tcW w:type="dxa" w:w="3360"/>
          </w:tcPr>
          <w:p>
            <w:r>
              <w:rPr>
                <w:rFonts w:ascii="Arial" w:hAnsi="Arial"/>
                <w:sz w:val="17"/>
              </w:rPr>
              <w:t>2020</w:t>
            </w:r>
          </w:p>
        </w:tc>
        <w:tc>
          <w:tcPr>
            <w:tcW w:type="dxa" w:w="3360"/>
          </w:tcPr>
          <w:p>
            <w:r>
              <w:rPr>
                <w:rFonts w:ascii="Arial" w:hAnsi="Arial"/>
                <w:sz w:val="17"/>
              </w:rPr>
              <w:t>July</w:t>
            </w:r>
          </w:p>
        </w:tc>
        <w:tc>
          <w:tcPr>
            <w:tcW w:type="dxa" w:w="3360"/>
          </w:tcPr>
          <w:p>
            <w:r>
              <w:rPr>
                <w:rFonts w:ascii="Arial" w:hAnsi="Arial"/>
                <w:sz w:val="17"/>
              </w:rPr>
              <w:t>62,749</w:t>
            </w:r>
          </w:p>
        </w:tc>
      </w:tr>
      <w:tr>
        <w:tc>
          <w:tcPr>
            <w:tcW w:type="dxa" w:w="3360"/>
          </w:tcPr>
          <w:p>
            <w:r>
              <w:rPr>
                <w:rFonts w:ascii="Arial" w:hAnsi="Arial"/>
                <w:sz w:val="17"/>
              </w:rPr>
              <w:t>2021</w:t>
            </w:r>
          </w:p>
        </w:tc>
        <w:tc>
          <w:tcPr>
            <w:tcW w:type="dxa" w:w="3360"/>
          </w:tcPr>
          <w:p>
            <w:r>
              <w:rPr>
                <w:rFonts w:ascii="Arial" w:hAnsi="Arial"/>
                <w:sz w:val="17"/>
              </w:rPr>
              <w:t>February</w:t>
            </w:r>
          </w:p>
        </w:tc>
        <w:tc>
          <w:tcPr>
            <w:tcW w:type="dxa" w:w="3360"/>
          </w:tcPr>
          <w:p>
            <w:r>
              <w:rPr>
                <w:rFonts w:ascii="Arial" w:hAnsi="Arial"/>
                <w:sz w:val="17"/>
              </w:rPr>
              <w:t>56,325</w:t>
            </w:r>
          </w:p>
        </w:tc>
      </w:tr>
      <w:tr>
        <w:tc>
          <w:tcPr>
            <w:tcW w:type="dxa" w:w="3360"/>
          </w:tcPr>
          <w:p>
            <w:r>
              <w:rPr>
                <w:rFonts w:ascii="Arial" w:hAnsi="Arial"/>
                <w:sz w:val="17"/>
              </w:rPr>
              <w:t>2022</w:t>
            </w:r>
          </w:p>
        </w:tc>
        <w:tc>
          <w:tcPr>
            <w:tcW w:type="dxa" w:w="3360"/>
          </w:tcPr>
          <w:p>
            <w:r>
              <w:rPr>
                <w:rFonts w:ascii="Arial" w:hAnsi="Arial"/>
                <w:sz w:val="17"/>
              </w:rPr>
              <w:t>April</w:t>
            </w:r>
          </w:p>
        </w:tc>
        <w:tc>
          <w:tcPr>
            <w:tcW w:type="dxa" w:w="3360"/>
          </w:tcPr>
          <w:p>
            <w:r>
              <w:rPr>
                <w:rFonts w:ascii="Arial" w:hAnsi="Arial"/>
                <w:sz w:val="17"/>
              </w:rPr>
              <w:t>123,690</w:t>
            </w:r>
          </w:p>
        </w:tc>
      </w:tr>
      <w:tr>
        <w:tc>
          <w:tcPr>
            <w:tcW w:type="dxa" w:w="3360"/>
          </w:tcPr>
          <w:p>
            <w:r>
              <w:rPr>
                <w:rFonts w:ascii="Arial" w:hAnsi="Arial"/>
                <w:sz w:val="17"/>
              </w:rPr>
              <w:t>2023</w:t>
            </w:r>
          </w:p>
        </w:tc>
        <w:tc>
          <w:tcPr>
            <w:tcW w:type="dxa" w:w="3360"/>
          </w:tcPr>
          <w:p>
            <w:r>
              <w:rPr>
                <w:rFonts w:ascii="Arial" w:hAnsi="Arial"/>
                <w:sz w:val="17"/>
              </w:rPr>
              <w:t>July</w:t>
            </w:r>
          </w:p>
        </w:tc>
        <w:tc>
          <w:tcPr>
            <w:tcW w:type="dxa" w:w="3360"/>
          </w:tcPr>
          <w:p>
            <w:r>
              <w:rPr>
                <w:rFonts w:ascii="Arial" w:hAnsi="Arial"/>
                <w:sz w:val="17"/>
              </w:rPr>
              <w:t>37,758</w:t>
            </w:r>
          </w:p>
        </w:tc>
      </w:tr>
    </w:tbl>
    <w:p>
      <w:pPr>
        <w:pStyle w:val="Heading1"/>
      </w:pPr>
      <w:r>
        <w:t>Part 4: Effect-Size Visualizations and Robust Spearman Checks</w:t>
      </w:r>
    </w:p>
    <w:p>
      <w:r>
        <w:t>Methodology. Part 4 visualizes the Part 1-3 results and repeats the severe-weather analysis with rank-based Spearman correlations, which are more robust to skew and zero inflation than tract-level OLS.</w:t>
      </w:r>
    </w:p>
    <w:p>
      <w:r>
        <w:t>Findings. The Spearman results confirm the severe-weather occurrence signal: 1,008 of 2,168 tracts are significant at FDR 0.05 and 669 are significant at FDR 0.01. Median occurrence rho is about 0.688. No tracts show a significant duration relationship after FDR correction, and median duration rho is only about 0.088. Month effects are significant in all 10 years.</w:t>
      </w:r>
    </w:p>
    <w:p>
      <w:pPr>
        <w:pStyle w:val="Heading1"/>
      </w:pPr>
      <w:r>
        <w:t>Part 5: Month-by-Month Trends Over Years</w:t>
      </w:r>
    </w:p>
    <w:p>
      <w:r>
        <w:t>Methodology. Part 5 tests whether each calendar month has an increasing or decreasing trend across years using Kendall tau and Theil-Sen slopes for outage occurrence and duration.</w:t>
      </w:r>
    </w:p>
    <w:p>
      <w:r>
        <w:t>Findings. No month has a significant occurrence trend after FDR correction. Duration trends are mostly insignificant as well, with January showing a significant negative log-duration trend. This means seasonality is strong within years, but month-specific long-run trends are not robust over 2014-2023.</w:t>
      </w:r>
    </w:p>
    <w:p>
      <w:pPr>
        <w:pStyle w:val="Heading1"/>
      </w:pPr>
      <w:r>
        <w:t>Part 6: Tract Seasonality Clustering</w:t>
      </w:r>
    </w:p>
    <w:p>
      <w:r>
        <w:t>Methodology. Part 6 clusters tracts by their monthly outage-share profiles, with the number of clusters selected using a silhouette scan.</w:t>
      </w:r>
    </w:p>
    <w:p>
      <w:r>
        <w:t>Findings. The cluster sizes are 111, 1,008, 288, and 761 tracts. Top months differ by cluster: one cluster peaks in August and July, another in March and July, another in August and February, and another in January and July. However, the later Part 8b diagnostic shows these profiles mostly correspond to the five county-level monthly profiles rather than independent tract-level seasonality. Part 6 should therefore be described as county-pattern profiling, not true tract-level clustering.</w:t>
      </w:r>
    </w:p>
    <w:p>
      <w:pPr>
        <w:pStyle w:val="Heading1"/>
      </w:pPr>
      <w:r>
        <w:t>Part 7: CVI Variables and Exploratory Tract-Year Regressions</w:t>
      </w:r>
    </w:p>
    <w:p>
      <w:r>
        <w:t>Methodology. Part 7 merges CVI variables into the tract-year panel and explores relationships between outage trends and vulnerability indicators, including overall CVI, social-economic CVI, infrastructure CVI, and climate/extreme-events CVI.</w:t>
      </w:r>
    </w:p>
    <w:p>
      <w:r>
        <w:t>Findings. The section is useful for visualization and hypothesis generation, but it should not be used for final inference. Part 8 shows that tract-level outcomes have no within-county-year variation, so tract-level CVI regressions inflate sample size and understate uncertainty.</w:t>
      </w:r>
    </w:p>
    <w:p>
      <w:pPr>
        <w:pStyle w:val="Heading1"/>
      </w:pPr>
      <w:r>
        <w:t>Part 8a: Data-Structure Check and County-Year Panel</w:t>
      </w:r>
    </w:p>
    <w:p>
      <w:r>
        <w:t>Methodology. Part 8a tests whether outage outcomes vary across tracts within the same county-year and then builds a balanced county-year panel with county-level CVI summaries.</w:t>
      </w:r>
    </w:p>
    <w:p>
      <w:r>
        <w:t>Findings. This is the central methodological finding: in all 47 observed county-year cells, outage occurrence, mean duration, and severe-weather count each have exactly one unique value across tracts. The share of county-year cells with identical occurrence, duration, and severe-weather values is 100%. This means the correct inferential level for CVI-linked outage outcomes is county-year or county-month, not tract-year.</w:t>
      </w:r>
    </w:p>
    <w:p>
      <w:pPr>
        <w:pStyle w:val="Heading1"/>
      </w:pPr>
      <w:r>
        <w:t>Part 8b: Model Upgrade Check</w:t>
      </w:r>
    </w:p>
    <w:p>
      <w:r>
        <w:t>Methodology. Part 8b compares model families for count outcomes and tests whether county-month seasonality models improve on earlier tests. It also checks whether clustering reflects tract or county profiles.</w:t>
      </w:r>
    </w:p>
    <w:p>
      <w:r>
        <w:t>Findings. The Poisson county-year count model is highly overdispersed, with overdispersion about 41.7 and AIC about 2,297. Negative Binomial fits much better, with AIC about 551 for the comparable county-year count model. In the 600-cell county-month panel, adding month effects improves Negative Binomial AIC from 3,277 to 3,227, and month effects are strongly supported with likelihood-ratio p approximately 5.44e-11. This confirms both overdispersion and seasonality.</w:t>
      </w:r>
    </w:p>
    <w:p>
      <w:pPr>
        <w:pStyle w:val="Heading1"/>
      </w:pPr>
      <w:r>
        <w:t>Part 9: Clean CVI Model Family</w:t>
      </w:r>
    </w:p>
    <w:p>
      <w:r>
        <w:t>Methodology. Part 9 fits one CVI concept at a time to reduce multicollinearity. It estimates OLS models on log outage occurrence and Poisson count models using county-year data.</w:t>
      </w:r>
    </w:p>
    <w:p>
      <w:r>
        <w:t>Findings. Overall CVI and social-economic CVI are positive in both OLS and Poisson models. Social-economic CVI is the clearest positive signal: OLS coefficient 0.444 with p=0.0077, and Poisson IRR about 1.18. Overall CVI has Poisson IRR about 1.13. Climate-extreme-events CVI has a negative sign, with Poisson IRR about 0.69, so it should be treated as a modeling caution rather than a policy headline. Severe-weather count remains positive and highly significant in the clean models.</w:t>
      </w:r>
    </w:p>
    <w:p>
      <w:pPr>
        <w:pStyle w:val="Heading1"/>
      </w:pPr>
      <w:r>
        <w:t>Part 9b: Theory-Driven CVI Selection and Ridge Regression</w:t>
      </w:r>
    </w:p>
    <w:p>
      <w:r>
        <w:t>Methodology. Part 9b uses social-economic CVI, infrastructure CVI, and severe-weather count in comparable OLS and Ridge specifications. VIF is used to assess predictor collinearity.</w:t>
      </w:r>
    </w:p>
    <w:p>
      <w:r>
        <w:t>Findings. Severe-weather count is the most stable predictor in the theory-driven model. Its OLS coefficient is 0.389, with a confidence interval from 0.137 to 0.641, and Ridge gives a similar coefficient of 0.385. Social-economic CVI and infrastructure CVI are both positive in OLS and Ridge, but their intervals cross zero. VIF values for social-economic and infrastructure CVI are about 4.85 and 4.81, indicating moderate collinearity.</w:t>
      </w:r>
    </w:p>
    <w:p>
      <w:pPr>
        <w:pStyle w:val="Heading1"/>
      </w:pPr>
      <w:r>
        <w:t>Part 10: Duration-Focused County-Year Models</w:t>
      </w:r>
    </w:p>
    <w:p>
      <w:r>
        <w:t>Methodology. Part 10 models county-year duration outcomes, including median duration, p90 duration, share above 8 hours, and share above 24 hours, while controlling for severe-weather share, customer impact, year, and CVI.</w:t>
      </w:r>
    </w:p>
    <w:p>
      <w:r>
        <w:t>Findings. At the county-year level, CVI duration results are weak and inconsistent. Social-economic CVI is not significant for median duration, p90 duration, share above 8 hours, or share above 24 hours. Severe-weather share is significant for p90 duration, with coefficient 0.371 and p=0.0197, but not for all duration outcomes. Customer impact is significant in several duration specifications. The county-year duration evidence therefore supports weather and customer impact more clearly than CVI.</w:t>
      </w:r>
    </w:p>
    <w:p>
      <w:pPr>
        <w:pStyle w:val="Heading1"/>
      </w:pPr>
      <w:r>
        <w:t>Part 10b: Event-Level Duration Models</w:t>
      </w:r>
    </w:p>
    <w:p>
      <w:r>
        <w:t>Methodology. Part 10b uses 4,518 deduplicated outage events and fits clustered OLS, GEE logistic, Ridge, and customer-hour models. County-level vulnerability summaries are merged to event records.</w:t>
      </w:r>
    </w:p>
    <w:p>
      <w:r>
        <w:t>Findings. Severe weather is the clearest event-level duration predictor. In event-level OLS, severe-weather flag has coefficient 0.446 on log duration with p&lt;0.001. In customer-hour OLS, severe weather has coefficient 1.506 with p&lt;0.001. Social-economic CVI is positive but not significant in clustered OLS; Ridge gives a small positive social-economic CVI coefficient of 0.043 with an interval just above zero. Infrastructure CVI is not supported in the event-level duration models.</w:t>
      </w:r>
    </w:p>
    <w:p>
      <w:pPr>
        <w:pStyle w:val="Heading1"/>
      </w:pPr>
      <w:r>
        <w:t>Part 11: Sensitivity and Robustness Summary</w:t>
      </w:r>
    </w:p>
    <w:p>
      <w:r>
        <w:t>Methodology. Part 11 compares the same vulnerability concept across county-year frequency, county-year duration, event-level OLS, and event-level Ridge.</w:t>
      </w:r>
    </w:p>
    <w:p>
      <w:r>
        <w:t>Findings. The robustness table shows that social-economic CVI is positive in county-year frequency OLS, county-year frequency Ridge, event-level OLS, and event-level Ridge, but only the event-level Ridge interval excludes zero. County-year duration OLS is slightly negative and not significant. The robust conclusion is directional rather than definitive: social-economic vulnerability may matter, but its evidence depends on model level and outcome.</w:t>
      </w:r>
    </w:p>
    <w:p>
      <w:pPr>
        <w:pStyle w:val="Heading1"/>
      </w:pPr>
      <w:r>
        <w:t>Part 12: Mechanism Interpretation</w:t>
      </w:r>
    </w:p>
    <w:p>
      <w:r>
        <w:t>Methodology. Part 12 compares the frequency channel with the resilience channel and summarizes county-level patterns.</w:t>
      </w:r>
    </w:p>
    <w:p>
      <w:r>
        <w:t>Findings. Queens has the highest mean outage occurrence at about 178.6 events per year, while Bronx has the highest social-economic CVI at about 0.761. Manhattan has the longest median event duration at 2.25 hours despite lower outage frequency. This shows that frequency and resilience are different mechanisms. The final interpretation should emphasize that severe weather drives outage burden most consistently, while social-economic vulnerability is a plausible but model-sensitive resilience and equity signal.</w:t>
      </w:r>
    </w:p>
    <w:p>
      <w:pPr>
        <w:pStyle w:val="Heading1"/>
      </w:pPr>
      <w:r>
        <w:t>Final Takeaway</w:t>
      </w:r>
    </w:p>
    <w:p>
      <w:r>
        <w:t>The notebook supports a clear weather and seasonality story and a more cautious vulnerability story. Severe weather and month effects are robust. Tract-level CVI inference is not supported because the outage outcomes repeat within county-year cells. The best final framing is that severe weather drives outage frequency and duration, while social-economic vulnerability may shape outage burden and restoration resilience, especially when analyzed at the corrected county-month or event level.</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NYC Power Outage EDA | Methods and Findings by Notebook Part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