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NYC Power Outage Vulnerability Analysis</w:t>
      </w:r>
    </w:p>
    <w:p>
      <w:pPr>
        <w:jc w:val="center"/>
      </w:pPr>
      <w:r>
        <w:rPr>
          <w:i/>
          <w:sz w:val="22"/>
        </w:rPr>
        <w:t>Formal Methods and Results Report, 2014-2023</w:t>
      </w:r>
    </w:p>
    <w:p>
      <w:r>
        <w:t>This report summarizes an exploratory and model-based analysis of power outage burden across the five counties of New York City. The analysis links outage events from 2014 through 2023 with Climate Vulnerability Index (CVI) indicators, severe-weather flags, duration measures, and customer impact measures. The primary objective is to assess whether outage frequency and outage duration are associated with time, severe weather, seasonality, and social vulnerability.</w:t>
      </w:r>
    </w:p>
    <w:p>
      <w:pPr>
        <w:pStyle w:val="Heading1"/>
      </w:pPr>
      <w:r>
        <w:t>Data at a Glance</w:t>
      </w:r>
    </w:p>
    <w:tbl>
      <w:tblPr>
        <w:tblStyle w:val="TableGrid"/>
        <w:tblW w:type="auto" w:w="0"/>
        <w:tblLook w:firstColumn="1" w:firstRow="1" w:lastColumn="0" w:lastRow="0" w:noHBand="0" w:noVBand="1" w:val="04A0"/>
      </w:tblPr>
      <w:tblGrid>
        <w:gridCol w:w="4968"/>
        <w:gridCol w:w="4968"/>
      </w:tblGrid>
      <w:tr>
        <w:tc>
          <w:tcPr>
            <w:tcW w:type="dxa" w:w="4968"/>
          </w:tcPr>
          <w:p>
            <w:r>
              <w:rPr>
                <w:rFonts w:ascii="Arial" w:hAnsi="Arial"/>
                <w:sz w:val="17"/>
              </w:rPr>
              <w:t>Item</w:t>
            </w:r>
          </w:p>
        </w:tc>
        <w:tc>
          <w:tcPr>
            <w:tcW w:type="dxa" w:w="4968"/>
          </w:tcPr>
          <w:p>
            <w:r>
              <w:rPr>
                <w:rFonts w:ascii="Arial" w:hAnsi="Arial"/>
                <w:sz w:val="17"/>
              </w:rPr>
              <w:t>Description</w:t>
            </w:r>
          </w:p>
        </w:tc>
      </w:tr>
      <w:tr>
        <w:tc>
          <w:tcPr>
            <w:tcW w:type="dxa" w:w="4968"/>
          </w:tcPr>
          <w:p>
            <w:r>
              <w:rPr>
                <w:rFonts w:ascii="Arial" w:hAnsi="Arial"/>
                <w:sz w:val="17"/>
              </w:rPr>
              <w:t>Study window</w:t>
            </w:r>
          </w:p>
        </w:tc>
        <w:tc>
          <w:tcPr>
            <w:tcW w:type="dxa" w:w="4968"/>
          </w:tcPr>
          <w:p>
            <w:r>
              <w:rPr>
                <w:rFonts w:ascii="Arial" w:hAnsi="Arial"/>
                <w:sz w:val="17"/>
              </w:rPr>
              <w:t>2014-2023</w:t>
            </w:r>
          </w:p>
        </w:tc>
      </w:tr>
      <w:tr>
        <w:tc>
          <w:tcPr>
            <w:tcW w:type="dxa" w:w="4968"/>
          </w:tcPr>
          <w:p>
            <w:r>
              <w:rPr>
                <w:rFonts w:ascii="Arial" w:hAnsi="Arial"/>
                <w:sz w:val="17"/>
              </w:rPr>
              <w:t>Geography</w:t>
            </w:r>
          </w:p>
        </w:tc>
        <w:tc>
          <w:tcPr>
            <w:tcW w:type="dxa" w:w="4968"/>
          </w:tcPr>
          <w:p>
            <w:r>
              <w:rPr>
                <w:rFonts w:ascii="Arial" w:hAnsi="Arial"/>
                <w:sz w:val="17"/>
              </w:rPr>
              <w:t>NYC five counties: Bronx, Brooklyn, Manhattan, Queens, and Staten Island</w:t>
            </w:r>
          </w:p>
        </w:tc>
      </w:tr>
      <w:tr>
        <w:tc>
          <w:tcPr>
            <w:tcW w:type="dxa" w:w="4968"/>
          </w:tcPr>
          <w:p>
            <w:r>
              <w:rPr>
                <w:rFonts w:ascii="Arial" w:hAnsi="Arial"/>
                <w:sz w:val="17"/>
              </w:rPr>
              <w:t>Primary unit for frequency models</w:t>
            </w:r>
          </w:p>
        </w:tc>
        <w:tc>
          <w:tcPr>
            <w:tcW w:type="dxa" w:w="4968"/>
          </w:tcPr>
          <w:p>
            <w:r>
              <w:rPr>
                <w:rFonts w:ascii="Arial" w:hAnsi="Arial"/>
                <w:sz w:val="17"/>
              </w:rPr>
              <w:t>County-month panel, with 600 observations</w:t>
            </w:r>
          </w:p>
        </w:tc>
      </w:tr>
      <w:tr>
        <w:tc>
          <w:tcPr>
            <w:tcW w:type="dxa" w:w="4968"/>
          </w:tcPr>
          <w:p>
            <w:r>
              <w:rPr>
                <w:rFonts w:ascii="Arial" w:hAnsi="Arial"/>
                <w:sz w:val="17"/>
              </w:rPr>
              <w:t>County-year diagnostic panel</w:t>
            </w:r>
          </w:p>
        </w:tc>
        <w:tc>
          <w:tcPr>
            <w:tcW w:type="dxa" w:w="4968"/>
          </w:tcPr>
          <w:p>
            <w:r>
              <w:rPr>
                <w:rFonts w:ascii="Arial" w:hAnsi="Arial"/>
                <w:sz w:val="17"/>
              </w:rPr>
              <w:t>Approximately 50 observations, used cautiously because of small N</w:t>
            </w:r>
          </w:p>
        </w:tc>
      </w:tr>
      <w:tr>
        <w:tc>
          <w:tcPr>
            <w:tcW w:type="dxa" w:w="4968"/>
          </w:tcPr>
          <w:p>
            <w:r>
              <w:rPr>
                <w:rFonts w:ascii="Arial" w:hAnsi="Arial"/>
                <w:sz w:val="17"/>
              </w:rPr>
              <w:t>Event-level duration panel</w:t>
            </w:r>
          </w:p>
        </w:tc>
        <w:tc>
          <w:tcPr>
            <w:tcW w:type="dxa" w:w="4968"/>
          </w:tcPr>
          <w:p>
            <w:r>
              <w:rPr>
                <w:rFonts w:ascii="Arial" w:hAnsi="Arial"/>
                <w:sz w:val="17"/>
              </w:rPr>
              <w:t>Approximately 4,500 deduplicated outage events</w:t>
            </w:r>
          </w:p>
        </w:tc>
      </w:tr>
      <w:tr>
        <w:tc>
          <w:tcPr>
            <w:tcW w:type="dxa" w:w="4968"/>
          </w:tcPr>
          <w:p>
            <w:r>
              <w:rPr>
                <w:rFonts w:ascii="Arial" w:hAnsi="Arial"/>
                <w:sz w:val="17"/>
              </w:rPr>
              <w:t>Core predictors</w:t>
            </w:r>
          </w:p>
        </w:tc>
        <w:tc>
          <w:tcPr>
            <w:tcW w:type="dxa" w:w="4968"/>
          </w:tcPr>
          <w:p>
            <w:r>
              <w:rPr>
                <w:rFonts w:ascii="Arial" w:hAnsi="Arial"/>
                <w:sz w:val="17"/>
              </w:rPr>
              <w:t>Year, month, severe-weather count or flag, customer impact, and CVI measures</w:t>
            </w:r>
          </w:p>
        </w:tc>
      </w:tr>
      <w:tr>
        <w:tc>
          <w:tcPr>
            <w:tcW w:type="dxa" w:w="4968"/>
          </w:tcPr>
          <w:p>
            <w:r>
              <w:rPr>
                <w:rFonts w:ascii="Arial" w:hAnsi="Arial"/>
                <w:sz w:val="17"/>
              </w:rPr>
              <w:t>Primary caution</w:t>
            </w:r>
          </w:p>
        </w:tc>
        <w:tc>
          <w:tcPr>
            <w:tcW w:type="dxa" w:w="4968"/>
          </w:tcPr>
          <w:p>
            <w:r>
              <w:rPr>
                <w:rFonts w:ascii="Arial" w:hAnsi="Arial"/>
                <w:sz w:val="17"/>
              </w:rPr>
              <w:t>Tract-level rows are useful for mapping and screening but are not independent inferential observations when outage outcomes repeat within county-years</w:t>
            </w:r>
          </w:p>
        </w:tc>
      </w:tr>
    </w:tbl>
    <w:p>
      <w:pPr>
        <w:pStyle w:val="Heading1"/>
      </w:pPr>
      <w:r>
        <w:t>Executive Summary</w:t>
      </w:r>
    </w:p>
    <w:p>
      <w:pPr>
        <w:pStyle w:val="ListBullet"/>
      </w:pPr>
      <w:r>
        <w:t>Severe weather is the most robust predictor of outage burden and outage duration. In event-level models, severe weather is strongly associated with longer outage duration and larger customer-hour impacts.</w:t>
      </w:r>
    </w:p>
    <w:p>
      <w:pPr>
        <w:pStyle w:val="ListBullet"/>
      </w:pPr>
      <w:r>
        <w:t>The corrected frequency analysis relies primarily on a balanced county-month panel rather than tract-level regressions. This avoids overstating precision when outage outcomes are duplicated across tracts within the same county-year.</w:t>
      </w:r>
    </w:p>
    <w:p>
      <w:pPr>
        <w:pStyle w:val="ListBullet"/>
      </w:pPr>
      <w:r>
        <w:t>Social-economic CVI is the clearest vulnerability signal. In the county-month Poisson model, a one-standard-deviation increase in social-economic CVI is associated with an estimated incidence rate ratio of approximately 1.20, or about 20 percent higher monthly outage counts, holding the model controls constant.</w:t>
      </w:r>
    </w:p>
    <w:p>
      <w:pPr>
        <w:pStyle w:val="ListBullet"/>
      </w:pPr>
      <w:r>
        <w:t>Duration evidence is more mixed. Severe weather consistently predicts longer outages, while CVI-related duration signals are weaker and most visible in event-level sensitivity models.</w:t>
      </w:r>
    </w:p>
    <w:p>
      <w:pPr>
        <w:pStyle w:val="ListBullet"/>
      </w:pPr>
      <w:r>
        <w:t>The final interpretation should be descriptive and policy-oriented rather than causal. The evidence supports a strong weather story and a more cautious equity/resilience story centered on social-economic vulnerability.</w:t>
      </w:r>
    </w:p>
    <w:p>
      <w:pPr>
        <w:pStyle w:val="Heading1"/>
      </w:pPr>
      <w:r>
        <w:t>Study Design and Modeling Rationale</w:t>
      </w:r>
    </w:p>
    <w:p>
      <w:r>
        <w:t>The analysis begins with a tract-level exploratory dataset because tract geography is useful for mapping vulnerability and identifying spatial patterns. However, a central diagnostic shows that outage occurrence, mean outage duration, and severe-weather counts repeat for tracts within the same county-year. As a result, tract-level regressions create many rows without creating many independent outage outcomes. The report therefore treats tract-level models as exploratory evidence and relies on aggregated or event-level models for stronger interpretation.</w:t>
      </w:r>
    </w:p>
    <w:p>
      <w:r>
        <w:t>The most important methodological correction is the shift from tract-level frequency models to a balanced county-month panel. With five counties, ten years, and twelve months per year, the county-month specification provides 600 observations and allows the model to account for seasonality directly through month effects. This design better reflects the observed outage process and avoids false tract-level precision.</w:t>
      </w:r>
    </w:p>
    <w:tbl>
      <w:tblPr>
        <w:tblStyle w:val="TableGrid"/>
        <w:tblW w:type="auto" w:w="0"/>
        <w:tblLook w:firstColumn="1" w:firstRow="1" w:lastColumn="0" w:lastRow="0" w:noHBand="0" w:noVBand="1" w:val="04A0"/>
      </w:tblPr>
      <w:tblGrid>
        <w:gridCol w:w="4968"/>
        <w:gridCol w:w="4968"/>
      </w:tblGrid>
      <w:tr>
        <w:tc>
          <w:tcPr>
            <w:tcW w:type="dxa" w:w="4968"/>
          </w:tcPr>
          <w:p>
            <w:r>
              <w:rPr>
                <w:rFonts w:ascii="Arial" w:hAnsi="Arial"/>
                <w:sz w:val="17"/>
              </w:rPr>
              <w:t>Evidence level</w:t>
            </w:r>
          </w:p>
        </w:tc>
        <w:tc>
          <w:tcPr>
            <w:tcW w:type="dxa" w:w="4968"/>
          </w:tcPr>
          <w:p>
            <w:r>
              <w:rPr>
                <w:rFonts w:ascii="Arial" w:hAnsi="Arial"/>
                <w:sz w:val="17"/>
              </w:rPr>
              <w:t>Role in interpretation</w:t>
            </w:r>
          </w:p>
        </w:tc>
      </w:tr>
      <w:tr>
        <w:tc>
          <w:tcPr>
            <w:tcW w:type="dxa" w:w="4968"/>
          </w:tcPr>
          <w:p>
            <w:r>
              <w:rPr>
                <w:rFonts w:ascii="Arial" w:hAnsi="Arial"/>
                <w:sz w:val="17"/>
              </w:rPr>
              <w:t>Tract-year analysis</w:t>
            </w:r>
          </w:p>
        </w:tc>
        <w:tc>
          <w:tcPr>
            <w:tcW w:type="dxa" w:w="4968"/>
          </w:tcPr>
          <w:p>
            <w:r>
              <w:rPr>
                <w:rFonts w:ascii="Arial" w:hAnsi="Arial"/>
                <w:sz w:val="17"/>
              </w:rPr>
              <w:t>Used for exploratory data analysis, screening, and mapping; not treated as final inferential evidence.</w:t>
            </w:r>
          </w:p>
        </w:tc>
      </w:tr>
      <w:tr>
        <w:tc>
          <w:tcPr>
            <w:tcW w:type="dxa" w:w="4968"/>
          </w:tcPr>
          <w:p>
            <w:r>
              <w:rPr>
                <w:rFonts w:ascii="Arial" w:hAnsi="Arial"/>
                <w:sz w:val="17"/>
              </w:rPr>
              <w:t>County-year analysis</w:t>
            </w:r>
          </w:p>
        </w:tc>
        <w:tc>
          <w:tcPr>
            <w:tcW w:type="dxa" w:w="4968"/>
          </w:tcPr>
          <w:p>
            <w:r>
              <w:rPr>
                <w:rFonts w:ascii="Arial" w:hAnsi="Arial"/>
                <w:sz w:val="17"/>
              </w:rPr>
              <w:t>Used for data-structure diagnostics, duration summaries, and small-sample sensitivity checks.</w:t>
            </w:r>
          </w:p>
        </w:tc>
      </w:tr>
      <w:tr>
        <w:tc>
          <w:tcPr>
            <w:tcW w:type="dxa" w:w="4968"/>
          </w:tcPr>
          <w:p>
            <w:r>
              <w:rPr>
                <w:rFonts w:ascii="Arial" w:hAnsi="Arial"/>
                <w:sz w:val="17"/>
              </w:rPr>
              <w:t>County-month analysis</w:t>
            </w:r>
          </w:p>
        </w:tc>
        <w:tc>
          <w:tcPr>
            <w:tcW w:type="dxa" w:w="4968"/>
          </w:tcPr>
          <w:p>
            <w:r>
              <w:rPr>
                <w:rFonts w:ascii="Arial" w:hAnsi="Arial"/>
                <w:sz w:val="17"/>
              </w:rPr>
              <w:t>Used for the primary frequency models because it captures seasonality and provides a larger panel.</w:t>
            </w:r>
          </w:p>
        </w:tc>
      </w:tr>
      <w:tr>
        <w:tc>
          <w:tcPr>
            <w:tcW w:type="dxa" w:w="4968"/>
          </w:tcPr>
          <w:p>
            <w:r>
              <w:rPr>
                <w:rFonts w:ascii="Arial" w:hAnsi="Arial"/>
                <w:sz w:val="17"/>
              </w:rPr>
              <w:t>Event-level analysis</w:t>
            </w:r>
          </w:p>
        </w:tc>
        <w:tc>
          <w:tcPr>
            <w:tcW w:type="dxa" w:w="4968"/>
          </w:tcPr>
          <w:p>
            <w:r>
              <w:rPr>
                <w:rFonts w:ascii="Arial" w:hAnsi="Arial"/>
                <w:sz w:val="17"/>
              </w:rPr>
              <w:t>Used for duration, severe-weather, and customer-hour models with deduplicated outage events.</w:t>
            </w:r>
          </w:p>
        </w:tc>
      </w:tr>
    </w:tbl>
    <w:p>
      <w:pPr>
        <w:pStyle w:val="Heading1"/>
      </w:pPr>
      <w:r>
        <w:t>Exploratory Analysis</w:t>
      </w:r>
    </w:p>
    <w:p>
      <w:r>
        <w:t>Parts 0 through 6 of the notebook provide exploratory evidence. They clean outage dates, county and tract FIPS codes, outage duration, customer counts, and severe-weather flags. They also examine severe-weather associations, year trends, month effects, visual summaries, nonparametric correlations, and seasonality clusters.</w:t>
      </w:r>
    </w:p>
    <w:p>
      <w:r>
        <w:t>These exploratory steps are valuable because they establish the data structure and motivate later model choices. They show seasonal variation in outages, skewness in outage counts and duration, and apparent geographic clustering. They also reveal why tract-level inference must be handled cautiously. The exploratory sections should therefore be presented as pattern discovery and model selection support rather than as final evidence of causal relationships.</w:t>
      </w:r>
    </w:p>
    <w:p>
      <w:pPr>
        <w:pStyle w:val="Heading1"/>
      </w:pPr>
      <w:r>
        <w:t>Corrected Frequency and Count Models</w:t>
      </w:r>
    </w:p>
    <w:p>
      <w:r>
        <w:t>The central correction appears in Part 8. After identifying repeated outage outcomes within county-years, the analysis collapses away false tract-level precision and shifts toward county-year and county-month models. The county-month model is the preferred frequency specification because it incorporates month effects and increases the effective panel size.</w:t>
      </w:r>
    </w:p>
    <w:p>
      <w:r>
        <w:t>The count-model diagnostics indicate that Poisson assumptions are too restrictive for the outage counts. The estimated overdispersion is approximately 41.73, far above the ideal value of 1. A Negative Binomial model substantially improves model fit, reducing AIC from approximately 2297.1 under Poisson to approximately 551.1 with the same main predictors. Month effects remain highly significant in the county-month seasonality model, confirming the importance of seasonal structure.</w:t>
      </w:r>
    </w:p>
    <w:p>
      <w:r>
        <w:t>Part 9 simplifies the CVI question by estimating one main CVI concept at a time. This avoids unstable coefficients caused by multicollinearity among CVI variables. The core frequency model includes time, severe-weather count, month effects, and one CVI measure. This design asks whether counties with higher vulnerability have higher monthly outage counts after accounting for time, weather, and seasonality.</w:t>
      </w:r>
    </w:p>
    <w:p>
      <w:pPr>
        <w:pStyle w:val="Heading1"/>
      </w:pPr>
      <w:r>
        <w:t>CVI, Duration, and Resilience Models</w:t>
      </w:r>
    </w:p>
    <w:p>
      <w:r>
        <w:t>The analysis separates outage frequency from outage resilience. Frequency models ask whether vulnerable counties experience more outage events. Duration models ask whether outages last longer once they occur. This distinction matters because a county may experience frequent but short outages, or fewer outages with longer restoration times. For equity and resilience analysis, duration and customer-hour outcomes are often more policy-relevant than event counts alone.</w:t>
      </w:r>
    </w:p>
    <w:p>
      <w:r>
        <w:t>Part 10 examines county-year duration outcomes, including median duration, p90 duration, the share of outages exceeding 8 hours, and the share exceeding 24 hours. Part 10b uses event-level models for log duration, severe-outage probability, Ridge sensitivity checks, and customer-hours. The event-level models are particularly useful because they avoid the small county-year sample and use thousands of deduplicated outage events.</w:t>
      </w:r>
    </w:p>
    <w:p>
      <w:r>
        <w:t>Across duration models, severe weather is the most consistent predictor. CVI duration estimates are more model-sensitive. Social-economic CVI is directionally important in some event-level sensitivity models, but it should not be described as uniformly significant across all duration outcomes.</w:t>
      </w:r>
    </w:p>
    <w:p>
      <w:pPr>
        <w:pStyle w:val="Heading1"/>
      </w:pPr>
      <w:r>
        <w:t>Main Results</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Finding</w:t>
            </w:r>
          </w:p>
        </w:tc>
        <w:tc>
          <w:tcPr>
            <w:tcW w:type="dxa" w:w="3312"/>
          </w:tcPr>
          <w:p>
            <w:r>
              <w:rPr>
                <w:rFonts w:ascii="Arial" w:hAnsi="Arial"/>
                <w:sz w:val="17"/>
              </w:rPr>
              <w:t>Evidence</w:t>
            </w:r>
          </w:p>
        </w:tc>
        <w:tc>
          <w:tcPr>
            <w:tcW w:type="dxa" w:w="3312"/>
          </w:tcPr>
          <w:p>
            <w:r>
              <w:rPr>
                <w:rFonts w:ascii="Arial" w:hAnsi="Arial"/>
                <w:sz w:val="17"/>
              </w:rPr>
              <w:t>Recommended interpretation</w:t>
            </w:r>
          </w:p>
        </w:tc>
      </w:tr>
      <w:tr>
        <w:tc>
          <w:tcPr>
            <w:tcW w:type="dxa" w:w="3312"/>
          </w:tcPr>
          <w:p>
            <w:r>
              <w:rPr>
                <w:rFonts w:ascii="Arial" w:hAnsi="Arial"/>
                <w:sz w:val="17"/>
              </w:rPr>
              <w:t>Severe weather is the strongest predictor.</w:t>
            </w:r>
          </w:p>
        </w:tc>
        <w:tc>
          <w:tcPr>
            <w:tcW w:type="dxa" w:w="3312"/>
          </w:tcPr>
          <w:p>
            <w:r>
              <w:rPr>
                <w:rFonts w:ascii="Arial" w:hAnsi="Arial"/>
                <w:sz w:val="17"/>
              </w:rPr>
              <w:t>Event-level models show strong associations with log duration and customer-hours.</w:t>
            </w:r>
          </w:p>
        </w:tc>
        <w:tc>
          <w:tcPr>
            <w:tcW w:type="dxa" w:w="3312"/>
          </w:tcPr>
          <w:p>
            <w:r>
              <w:rPr>
                <w:rFonts w:ascii="Arial" w:hAnsi="Arial"/>
                <w:sz w:val="17"/>
              </w:rPr>
              <w:t>Report as the most robust and least ambiguous finding.</w:t>
            </w:r>
          </w:p>
        </w:tc>
      </w:tr>
      <w:tr>
        <w:tc>
          <w:tcPr>
            <w:tcW w:type="dxa" w:w="3312"/>
          </w:tcPr>
          <w:p>
            <w:r>
              <w:rPr>
                <w:rFonts w:ascii="Arial" w:hAnsi="Arial"/>
                <w:sz w:val="17"/>
              </w:rPr>
              <w:t>Social-economic CVI is the clearest vulnerability signal.</w:t>
            </w:r>
          </w:p>
        </w:tc>
        <w:tc>
          <w:tcPr>
            <w:tcW w:type="dxa" w:w="3312"/>
          </w:tcPr>
          <w:p>
            <w:r>
              <w:rPr>
                <w:rFonts w:ascii="Arial" w:hAnsi="Arial"/>
                <w:sz w:val="17"/>
              </w:rPr>
              <w:t>County-month Poisson estimate: IRR about 1.20 for a one-standard-deviation increase.</w:t>
            </w:r>
          </w:p>
        </w:tc>
        <w:tc>
          <w:tcPr>
            <w:tcW w:type="dxa" w:w="3312"/>
          </w:tcPr>
          <w:p>
            <w:r>
              <w:rPr>
                <w:rFonts w:ascii="Arial" w:hAnsi="Arial"/>
                <w:sz w:val="17"/>
              </w:rPr>
              <w:t>Report as evidence that social vulnerability is associated with higher outage frequency.</w:t>
            </w:r>
          </w:p>
        </w:tc>
      </w:tr>
      <w:tr>
        <w:tc>
          <w:tcPr>
            <w:tcW w:type="dxa" w:w="3312"/>
          </w:tcPr>
          <w:p>
            <w:r>
              <w:rPr>
                <w:rFonts w:ascii="Arial" w:hAnsi="Arial"/>
                <w:sz w:val="17"/>
              </w:rPr>
              <w:t>Overall CVI is positive but less clear.</w:t>
            </w:r>
          </w:p>
        </w:tc>
        <w:tc>
          <w:tcPr>
            <w:tcW w:type="dxa" w:w="3312"/>
          </w:tcPr>
          <w:p>
            <w:r>
              <w:rPr>
                <w:rFonts w:ascii="Arial" w:hAnsi="Arial"/>
                <w:sz w:val="17"/>
              </w:rPr>
              <w:t>County-month Poisson IRR about 1.14.</w:t>
            </w:r>
          </w:p>
        </w:tc>
        <w:tc>
          <w:tcPr>
            <w:tcW w:type="dxa" w:w="3312"/>
          </w:tcPr>
          <w:p>
            <w:r>
              <w:rPr>
                <w:rFonts w:ascii="Arial" w:hAnsi="Arial"/>
                <w:sz w:val="17"/>
              </w:rPr>
              <w:t>Use as supporting evidence for the broader vulnerability story.</w:t>
            </w:r>
          </w:p>
        </w:tc>
      </w:tr>
      <w:tr>
        <w:tc>
          <w:tcPr>
            <w:tcW w:type="dxa" w:w="3312"/>
          </w:tcPr>
          <w:p>
            <w:r>
              <w:rPr>
                <w:rFonts w:ascii="Arial" w:hAnsi="Arial"/>
                <w:sz w:val="17"/>
              </w:rPr>
              <w:t>Climate-extreme-events CVI has an unexpected negative sign.</w:t>
            </w:r>
          </w:p>
        </w:tc>
        <w:tc>
          <w:tcPr>
            <w:tcW w:type="dxa" w:w="3312"/>
          </w:tcPr>
          <w:p>
            <w:r>
              <w:rPr>
                <w:rFonts w:ascii="Arial" w:hAnsi="Arial"/>
                <w:sz w:val="17"/>
              </w:rPr>
              <w:t>Part 9 Poisson IRR about 0.65.</w:t>
            </w:r>
          </w:p>
        </w:tc>
        <w:tc>
          <w:tcPr>
            <w:tcW w:type="dxa" w:w="3312"/>
          </w:tcPr>
          <w:p>
            <w:r>
              <w:rPr>
                <w:rFonts w:ascii="Arial" w:hAnsi="Arial"/>
                <w:sz w:val="17"/>
              </w:rPr>
              <w:t>Treat as a modeling caution, not as a policy headline.</w:t>
            </w:r>
          </w:p>
        </w:tc>
      </w:tr>
      <w:tr>
        <w:tc>
          <w:tcPr>
            <w:tcW w:type="dxa" w:w="3312"/>
          </w:tcPr>
          <w:p>
            <w:r>
              <w:rPr>
                <w:rFonts w:ascii="Arial" w:hAnsi="Arial"/>
                <w:sz w:val="17"/>
              </w:rPr>
              <w:t>Infrastructure CVI is suggestive but imprecise.</w:t>
            </w:r>
          </w:p>
        </w:tc>
        <w:tc>
          <w:tcPr>
            <w:tcW w:type="dxa" w:w="3312"/>
          </w:tcPr>
          <w:p>
            <w:r>
              <w:rPr>
                <w:rFonts w:ascii="Arial" w:hAnsi="Arial"/>
                <w:sz w:val="17"/>
              </w:rPr>
              <w:t>Positive in theory-driven OLS and Ridge, but intervals cross zero.</w:t>
            </w:r>
          </w:p>
        </w:tc>
        <w:tc>
          <w:tcPr>
            <w:tcW w:type="dxa" w:w="3312"/>
          </w:tcPr>
          <w:p>
            <w:r>
              <w:rPr>
                <w:rFonts w:ascii="Arial" w:hAnsi="Arial"/>
                <w:sz w:val="17"/>
              </w:rPr>
              <w:t>Describe as directional and hypothesis-generating.</w:t>
            </w:r>
          </w:p>
        </w:tc>
      </w:tr>
      <w:tr>
        <w:tc>
          <w:tcPr>
            <w:tcW w:type="dxa" w:w="3312"/>
          </w:tcPr>
          <w:p>
            <w:r>
              <w:rPr>
                <w:rFonts w:ascii="Arial" w:hAnsi="Arial"/>
                <w:sz w:val="17"/>
              </w:rPr>
              <w:t>Duration evidence is mixed for CVI.</w:t>
            </w:r>
          </w:p>
        </w:tc>
        <w:tc>
          <w:tcPr>
            <w:tcW w:type="dxa" w:w="3312"/>
          </w:tcPr>
          <w:p>
            <w:r>
              <w:rPr>
                <w:rFonts w:ascii="Arial" w:hAnsi="Arial"/>
                <w:sz w:val="17"/>
              </w:rPr>
              <w:t>Severe weather predicts duration more consistently than CVI terms.</w:t>
            </w:r>
          </w:p>
        </w:tc>
        <w:tc>
          <w:tcPr>
            <w:tcW w:type="dxa" w:w="3312"/>
          </w:tcPr>
          <w:p>
            <w:r>
              <w:rPr>
                <w:rFonts w:ascii="Arial" w:hAnsi="Arial"/>
                <w:sz w:val="17"/>
              </w:rPr>
              <w:t>Frame CVI duration results cautiously and emphasize event-level sensitivity checks.</w:t>
            </w:r>
          </w:p>
        </w:tc>
      </w:tr>
    </w:tbl>
    <w:p>
      <w:pPr>
        <w:pStyle w:val="Heading1"/>
      </w:pPr>
      <w:r>
        <w:t>Interpretation</w:t>
      </w:r>
    </w:p>
    <w:p>
      <w:r>
        <w:t>The most defensible interpretation is that the outage data show a strong weather pattern and a more cautious vulnerability pattern. Severe weather is consistently linked to more serious outage outcomes. Social-economic vulnerability is also important, particularly in the corrected county-month frequency model and in event-level duration sensitivity checks. However, not every CVI measure behaves consistently, and some estimates remain imprecise.</w:t>
      </w:r>
    </w:p>
    <w:p>
      <w:r>
        <w:t>The report should therefore avoid the claim that every CVI dimension strongly predicts every outage outcome. A more accurate conclusion is that vulnerability appears policy-relevant, especially through social-economic conditions and resilience after outages occur, but the magnitude and statistical certainty depend on the model and outcome.</w:t>
      </w:r>
    </w:p>
    <w:p>
      <w:pPr>
        <w:pStyle w:val="Heading1"/>
      </w:pPr>
      <w:r>
        <w:t>Limitations</w:t>
      </w:r>
    </w:p>
    <w:p>
      <w:pPr>
        <w:pStyle w:val="ListBullet"/>
      </w:pPr>
      <w:r>
        <w:t>County-year models are based on approximately 50 observations, so asymptotic p-values and HC3 standard errors should be interpreted cautiously.</w:t>
      </w:r>
    </w:p>
    <w:p>
      <w:pPr>
        <w:pStyle w:val="ListBullet"/>
      </w:pPr>
      <w:r>
        <w:t>Only five counties are observed, which means cross-sectional results may be sensitive to one county with unusually high or low outage burden.</w:t>
      </w:r>
    </w:p>
    <w:p>
      <w:pPr>
        <w:pStyle w:val="ListBullet"/>
      </w:pPr>
      <w:r>
        <w:t>Tract-level regressions are exploratory because outage outcomes are repeated within county-years and do not represent independent tract-level outage processes.</w:t>
      </w:r>
    </w:p>
    <w:p>
      <w:pPr>
        <w:pStyle w:val="ListBullet"/>
      </w:pPr>
      <w:r>
        <w:t>Ridge models use a fixed alpha value and should be treated as sensitivity checks unless cross-validation is added.</w:t>
      </w:r>
    </w:p>
    <w:p>
      <w:pPr>
        <w:pStyle w:val="ListBullet"/>
      </w:pPr>
      <w:r>
        <w:t>The severe-weather flag requires clearer documentation, especially whether it is assigned at the event level or row level.</w:t>
      </w:r>
    </w:p>
    <w:p>
      <w:pPr>
        <w:pStyle w:val="ListBullet"/>
      </w:pPr>
      <w:r>
        <w:t>The seasonality clustering in Part 6 reflects county-level profiles more than tract-level heterogeneity.</w:t>
      </w:r>
    </w:p>
    <w:p>
      <w:pPr>
        <w:pStyle w:val="Heading1"/>
      </w:pPr>
      <w:r>
        <w:t>Recommended Next Steps</w:t>
      </w:r>
    </w:p>
    <w:p>
      <w:pPr>
        <w:pStyle w:val="ListBullet"/>
      </w:pPr>
      <w:r>
        <w:t>Use Negative Binomial or other overdispersed count models for final outage-count interpretation.</w:t>
      </w:r>
    </w:p>
    <w:p>
      <w:pPr>
        <w:pStyle w:val="ListBullet"/>
      </w:pPr>
      <w:r>
        <w:t>Use the county-month Part 9 models for the cleanest CVI frequency story.</w:t>
      </w:r>
    </w:p>
    <w:p>
      <w:pPr>
        <w:pStyle w:val="ListBullet"/>
      </w:pPr>
      <w:r>
        <w:t>Use event-level duration and customer-hour models for resilience interpretation.</w:t>
      </w:r>
    </w:p>
    <w:p>
      <w:pPr>
        <w:pStyle w:val="ListBullet"/>
      </w:pPr>
      <w:r>
        <w:t>Add cross-validation for Ridge alpha values before reporting Ridge magnitudes.</w:t>
      </w:r>
    </w:p>
    <w:p>
      <w:pPr>
        <w:pStyle w:val="ListBullet"/>
      </w:pPr>
      <w:r>
        <w:t>Add permutation-based p-values or bootstrap intervals for county-year models because N is small.</w:t>
      </w:r>
    </w:p>
    <w:p>
      <w:pPr>
        <w:pStyle w:val="ListBullet"/>
      </w:pPr>
      <w:r>
        <w:t>Document the construction and granularity of the severe-weather flag.</w:t>
      </w:r>
    </w:p>
    <w:p>
      <w:pPr>
        <w:pStyle w:val="ListBullet"/>
      </w:pPr>
      <w:r>
        <w:t>Reframe Part 6 explicitly as county seasonality profiling rather than tract-level clustering.</w:t>
      </w:r>
    </w:p>
    <w:p>
      <w:pPr>
        <w:pStyle w:val="ListBullet"/>
      </w:pPr>
      <w:r>
        <w:t>If available, acquire utility-provided tract-level outage data to support true tract-level CVI inference.</w:t>
      </w:r>
    </w:p>
    <w:p>
      <w:pPr>
        <w:pStyle w:val="Heading1"/>
      </w:pPr>
      <w:r>
        <w:t>Conclusion</w:t>
      </w:r>
    </w:p>
    <w:p>
      <w:r>
        <w:t>The final report should emphasize severe weather first, social-economic vulnerability second, and model uncertainty third. The strongest statistical evidence is that severe weather is associated with more severe outage outcomes. Social-economic CVI provides the most credible vulnerability signal, especially for monthly outage frequency and selected duration sensitivity checks. The appropriate framing is therefore an equity and resilience interpretation: outage burden is strongly weather-driven, while social vulnerability may shape the distribution and persistence of outage impacts.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NYC Power Outage Vulnerability Analysis | Formal Report Summary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