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Clean Electricity Low-Income Eligibility and NYC Outage Burden</w:t>
      </w:r>
    </w:p>
    <w:p>
      <w:pPr>
        <w:jc w:val="center"/>
      </w:pPr>
      <w:r>
        <w:rPr>
          <w:i/>
          <w:sz w:val="20"/>
        </w:rPr>
        <w:t>Policy-alignment summary for 2014-2023 outage analysis</w:t>
      </w:r>
    </w:p>
    <w:p>
      <w:pPr>
        <w:pStyle w:val="Heading1"/>
      </w:pPr>
      <w:r>
        <w:t>Purpose</w:t>
      </w:r>
    </w:p>
    <w:p>
      <w:r>
        <w:t>This note explains how the CleanElectricityLowIncome workbook can be used in the NYC outage/CVI project. The workbook is not a 2014-2023 annual dataset. It is a current 2025 tract-level policy eligibility layer, so the best use is to compare current clean-energy low-income eligibility with historical outage burden from 2014-2023.</w:t>
      </w:r>
    </w:p>
    <w:p>
      <w:pPr>
        <w:pStyle w:val="Heading1"/>
      </w:pPr>
      <w:r>
        <w:t>Data Integration</w:t>
      </w:r>
    </w:p>
    <w:p>
      <w:r>
        <w:t>The analysis keeps the same geography and time window as the prior notebook: the five NYC counties and outage years 2014-2023. The Clean Electricity layer directly matched 2,033 of 2,168 outage/CVI tracts, a 93.8% match rate. Unmatched tracts appear mainly related to tract geography changes between the outage/CVI tract IDs and 2025 census tract definitions.</w:t>
      </w:r>
    </w:p>
    <w:p>
      <w:pPr>
        <w:pStyle w:val="Heading1"/>
      </w:pPr>
      <w:r>
        <w:t>Interpretation</w:t>
      </w:r>
    </w:p>
    <w:p>
      <w:r>
        <w:t>The Clean Electricity layer should be interpreted as a policy benchmark, not as a time-varying cause of outages. The main question becomes: do communities that are currently eligible under clean-energy low-income criteria overlap with communities that experienced heavier outage burdens in 2014-2023? This is a policy-alignment question rather than a causal time-series question.</w:t>
      </w:r>
    </w:p>
    <w:p>
      <w:r>
        <w:t>Category 1 eligibility is strongly aligned with social-economic CVI at the tract level (Spearman rho = 0.622), so it adds a policy-relevant equity lens that overlaps with, rather than replaces, the existing CVI measures.</w:t>
      </w:r>
    </w:p>
    <w:p>
      <w:pPr>
        <w:pStyle w:val="Heading1"/>
      </w:pPr>
      <w:r>
        <w:t>Historical Outage Burden by Current Category 1 Eligibility</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rPr>
                <w:rFonts w:ascii="Arial" w:hAnsi="Arial"/>
                <w:sz w:val="16"/>
              </w:rPr>
              <w:t>Category 1 bucket</w:t>
            </w:r>
          </w:p>
        </w:tc>
        <w:tc>
          <w:tcPr>
            <w:tcW w:type="dxa" w:w="1680"/>
          </w:tcPr>
          <w:p>
            <w:r>
              <w:rPr>
                <w:rFonts w:ascii="Arial" w:hAnsi="Arial"/>
                <w:sz w:val="16"/>
              </w:rPr>
              <w:t>Tracts</w:t>
            </w:r>
          </w:p>
        </w:tc>
        <w:tc>
          <w:tcPr>
            <w:tcW w:type="dxa" w:w="1680"/>
          </w:tcPr>
          <w:p>
            <w:r>
              <w:rPr>
                <w:rFonts w:ascii="Arial" w:hAnsi="Arial"/>
                <w:sz w:val="16"/>
              </w:rPr>
              <w:t>Mean events</w:t>
            </w:r>
          </w:p>
        </w:tc>
        <w:tc>
          <w:tcPr>
            <w:tcW w:type="dxa" w:w="1680"/>
          </w:tcPr>
          <w:p>
            <w:r>
              <w:rPr>
                <w:rFonts w:ascii="Arial" w:hAnsi="Arial"/>
                <w:sz w:val="16"/>
              </w:rPr>
              <w:t>Median events</w:t>
            </w:r>
          </w:p>
        </w:tc>
        <w:tc>
          <w:tcPr>
            <w:tcW w:type="dxa" w:w="1680"/>
          </w:tcPr>
          <w:p>
            <w:r>
              <w:rPr>
                <w:rFonts w:ascii="Arial" w:hAnsi="Arial"/>
                <w:sz w:val="16"/>
              </w:rPr>
              <w:t>Mean duration (h)</w:t>
            </w:r>
          </w:p>
        </w:tc>
        <w:tc>
          <w:tcPr>
            <w:tcW w:type="dxa" w:w="1680"/>
          </w:tcPr>
          <w:p>
            <w:r>
              <w:rPr>
                <w:rFonts w:ascii="Arial" w:hAnsi="Arial"/>
                <w:sz w:val="16"/>
              </w:rPr>
              <w:t>Mean social-econ CVI</w:t>
            </w:r>
          </w:p>
        </w:tc>
      </w:tr>
      <w:tr>
        <w:tc>
          <w:tcPr>
            <w:tcW w:type="dxa" w:w="1680"/>
          </w:tcPr>
          <w:p>
            <w:r>
              <w:rPr>
                <w:rFonts w:ascii="Arial" w:hAnsi="Arial"/>
                <w:sz w:val="16"/>
              </w:rPr>
              <w:t>0%</w:t>
            </w:r>
          </w:p>
        </w:tc>
        <w:tc>
          <w:tcPr>
            <w:tcW w:type="dxa" w:w="1680"/>
          </w:tcPr>
          <w:p>
            <w:r>
              <w:rPr>
                <w:rFonts w:ascii="Arial" w:hAnsi="Arial"/>
                <w:sz w:val="16"/>
              </w:rPr>
              <w:t>965</w:t>
            </w:r>
          </w:p>
        </w:tc>
        <w:tc>
          <w:tcPr>
            <w:tcW w:type="dxa" w:w="1680"/>
          </w:tcPr>
          <w:p>
            <w:r>
              <w:rPr>
                <w:rFonts w:ascii="Arial" w:hAnsi="Arial"/>
                <w:sz w:val="16"/>
              </w:rPr>
              <w:t>1142.0</w:t>
            </w:r>
          </w:p>
        </w:tc>
        <w:tc>
          <w:tcPr>
            <w:tcW w:type="dxa" w:w="1680"/>
          </w:tcPr>
          <w:p>
            <w:r>
              <w:rPr>
                <w:rFonts w:ascii="Arial" w:hAnsi="Arial"/>
                <w:sz w:val="16"/>
              </w:rPr>
              <w:t>1040.0</w:t>
            </w:r>
          </w:p>
        </w:tc>
        <w:tc>
          <w:tcPr>
            <w:tcW w:type="dxa" w:w="1680"/>
          </w:tcPr>
          <w:p>
            <w:r>
              <w:rPr>
                <w:rFonts w:ascii="Arial" w:hAnsi="Arial"/>
                <w:sz w:val="16"/>
              </w:rPr>
              <w:t>3.7</w:t>
            </w:r>
          </w:p>
        </w:tc>
        <w:tc>
          <w:tcPr>
            <w:tcW w:type="dxa" w:w="1680"/>
          </w:tcPr>
          <w:p>
            <w:r>
              <w:rPr>
                <w:rFonts w:ascii="Arial" w:hAnsi="Arial"/>
                <w:sz w:val="16"/>
              </w:rPr>
              <w:t>0.500</w:t>
            </w:r>
          </w:p>
        </w:tc>
      </w:tr>
      <w:tr>
        <w:tc>
          <w:tcPr>
            <w:tcW w:type="dxa" w:w="1680"/>
          </w:tcPr>
          <w:p>
            <w:r>
              <w:rPr>
                <w:rFonts w:ascii="Arial" w:hAnsi="Arial"/>
                <w:sz w:val="16"/>
              </w:rPr>
              <w:t>Partial</w:t>
            </w:r>
          </w:p>
        </w:tc>
        <w:tc>
          <w:tcPr>
            <w:tcW w:type="dxa" w:w="1680"/>
          </w:tcPr>
          <w:p>
            <w:r>
              <w:rPr>
                <w:rFonts w:ascii="Arial" w:hAnsi="Arial"/>
                <w:sz w:val="16"/>
              </w:rPr>
              <w:t>3</w:t>
            </w:r>
          </w:p>
        </w:tc>
        <w:tc>
          <w:tcPr>
            <w:tcW w:type="dxa" w:w="1680"/>
          </w:tcPr>
          <w:p>
            <w:r>
              <w:rPr>
                <w:rFonts w:ascii="Arial" w:hAnsi="Arial"/>
                <w:sz w:val="16"/>
              </w:rPr>
              <w:t>865.0</w:t>
            </w:r>
          </w:p>
        </w:tc>
        <w:tc>
          <w:tcPr>
            <w:tcW w:type="dxa" w:w="1680"/>
          </w:tcPr>
          <w:p>
            <w:r>
              <w:rPr>
                <w:rFonts w:ascii="Arial" w:hAnsi="Arial"/>
                <w:sz w:val="16"/>
              </w:rPr>
              <w:t>865.0</w:t>
            </w:r>
          </w:p>
        </w:tc>
        <w:tc>
          <w:tcPr>
            <w:tcW w:type="dxa" w:w="1680"/>
          </w:tcPr>
          <w:p>
            <w:r>
              <w:rPr>
                <w:rFonts w:ascii="Arial" w:hAnsi="Arial"/>
                <w:sz w:val="16"/>
              </w:rPr>
              <w:t>3.5</w:t>
            </w:r>
          </w:p>
        </w:tc>
        <w:tc>
          <w:tcPr>
            <w:tcW w:type="dxa" w:w="1680"/>
          </w:tcPr>
          <w:p>
            <w:r>
              <w:rPr>
                <w:rFonts w:ascii="Arial" w:hAnsi="Arial"/>
                <w:sz w:val="16"/>
              </w:rPr>
              <w:t>0.711</w:t>
            </w:r>
          </w:p>
        </w:tc>
      </w:tr>
      <w:tr>
        <w:tc>
          <w:tcPr>
            <w:tcW w:type="dxa" w:w="1680"/>
          </w:tcPr>
          <w:p>
            <w:r>
              <w:rPr>
                <w:rFonts w:ascii="Arial" w:hAnsi="Arial"/>
                <w:sz w:val="16"/>
              </w:rPr>
              <w:t>100%</w:t>
            </w:r>
          </w:p>
        </w:tc>
        <w:tc>
          <w:tcPr>
            <w:tcW w:type="dxa" w:w="1680"/>
          </w:tcPr>
          <w:p>
            <w:r>
              <w:rPr>
                <w:rFonts w:ascii="Arial" w:hAnsi="Arial"/>
                <w:sz w:val="16"/>
              </w:rPr>
              <w:t>1,065</w:t>
            </w:r>
          </w:p>
        </w:tc>
        <w:tc>
          <w:tcPr>
            <w:tcW w:type="dxa" w:w="1680"/>
          </w:tcPr>
          <w:p>
            <w:r>
              <w:rPr>
                <w:rFonts w:ascii="Arial" w:hAnsi="Arial"/>
                <w:sz w:val="16"/>
              </w:rPr>
              <w:t>1089.6</w:t>
            </w:r>
          </w:p>
        </w:tc>
        <w:tc>
          <w:tcPr>
            <w:tcW w:type="dxa" w:w="1680"/>
          </w:tcPr>
          <w:p>
            <w:r>
              <w:rPr>
                <w:rFonts w:ascii="Arial" w:hAnsi="Arial"/>
                <w:sz w:val="16"/>
              </w:rPr>
              <w:t>1040.0</w:t>
            </w:r>
          </w:p>
        </w:tc>
        <w:tc>
          <w:tcPr>
            <w:tcW w:type="dxa" w:w="1680"/>
          </w:tcPr>
          <w:p>
            <w:r>
              <w:rPr>
                <w:rFonts w:ascii="Arial" w:hAnsi="Arial"/>
                <w:sz w:val="16"/>
              </w:rPr>
              <w:t>3.9</w:t>
            </w:r>
          </w:p>
        </w:tc>
        <w:tc>
          <w:tcPr>
            <w:tcW w:type="dxa" w:w="1680"/>
          </w:tcPr>
          <w:p>
            <w:r>
              <w:rPr>
                <w:rFonts w:ascii="Arial" w:hAnsi="Arial"/>
                <w:sz w:val="16"/>
              </w:rPr>
              <w:t>0.669</w:t>
            </w:r>
          </w:p>
        </w:tc>
      </w:tr>
    </w:tbl>
    <w:p>
      <w:r>
        <w:t>The table shows that 100% Category 1 tracts have higher social-economic CVI than 0% Category 1 tracts, but their average historical outage event counts are similar rather than sharply higher. This suggests current policy eligibility identifies social vulnerability well, but it does not perfectly isolate the tracts with the greatest historical outage counts.</w:t>
      </w:r>
    </w:p>
    <w:p>
      <w:pPr>
        <w:pStyle w:val="Heading1"/>
      </w:pPr>
      <w:r>
        <w:t>County-Level Pattern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rFonts w:ascii="Arial" w:hAnsi="Arial"/>
                <w:sz w:val="16"/>
              </w:rPr>
              <w:t>County</w:t>
            </w:r>
          </w:p>
        </w:tc>
        <w:tc>
          <w:tcPr>
            <w:tcW w:type="dxa" w:w="2016"/>
          </w:tcPr>
          <w:p>
            <w:r>
              <w:rPr>
                <w:rFonts w:ascii="Arial" w:hAnsi="Arial"/>
                <w:sz w:val="16"/>
              </w:rPr>
              <w:t>Mean Category 1 %</w:t>
            </w:r>
          </w:p>
        </w:tc>
        <w:tc>
          <w:tcPr>
            <w:tcW w:type="dxa" w:w="2016"/>
          </w:tcPr>
          <w:p>
            <w:r>
              <w:rPr>
                <w:rFonts w:ascii="Arial" w:hAnsi="Arial"/>
                <w:sz w:val="16"/>
              </w:rPr>
              <w:t>Mean events</w:t>
            </w:r>
          </w:p>
        </w:tc>
        <w:tc>
          <w:tcPr>
            <w:tcW w:type="dxa" w:w="2016"/>
          </w:tcPr>
          <w:p>
            <w:r>
              <w:rPr>
                <w:rFonts w:ascii="Arial" w:hAnsi="Arial"/>
                <w:sz w:val="16"/>
              </w:rPr>
              <w:t>Mean duration (h)</w:t>
            </w:r>
          </w:p>
        </w:tc>
        <w:tc>
          <w:tcPr>
            <w:tcW w:type="dxa" w:w="2016"/>
          </w:tcPr>
          <w:p>
            <w:r>
              <w:rPr>
                <w:rFonts w:ascii="Arial" w:hAnsi="Arial"/>
                <w:sz w:val="16"/>
              </w:rPr>
              <w:t>Social-econ CVI</w:t>
            </w:r>
          </w:p>
        </w:tc>
      </w:tr>
      <w:tr>
        <w:tc>
          <w:tcPr>
            <w:tcW w:type="dxa" w:w="2016"/>
          </w:tcPr>
          <w:p>
            <w:r>
              <w:rPr>
                <w:rFonts w:ascii="Arial" w:hAnsi="Arial"/>
                <w:sz w:val="16"/>
              </w:rPr>
              <w:t>Bronx</w:t>
            </w:r>
          </w:p>
        </w:tc>
        <w:tc>
          <w:tcPr>
            <w:tcW w:type="dxa" w:w="2016"/>
          </w:tcPr>
          <w:p>
            <w:r>
              <w:rPr>
                <w:rFonts w:ascii="Arial" w:hAnsi="Arial"/>
                <w:sz w:val="16"/>
              </w:rPr>
              <w:t>79.6</w:t>
            </w:r>
          </w:p>
        </w:tc>
        <w:tc>
          <w:tcPr>
            <w:tcW w:type="dxa" w:w="2016"/>
          </w:tcPr>
          <w:p>
            <w:r>
              <w:rPr>
                <w:rFonts w:ascii="Arial" w:hAnsi="Arial"/>
                <w:sz w:val="16"/>
              </w:rPr>
              <w:t>865.0</w:t>
            </w:r>
          </w:p>
        </w:tc>
        <w:tc>
          <w:tcPr>
            <w:tcW w:type="dxa" w:w="2016"/>
          </w:tcPr>
          <w:p>
            <w:r>
              <w:rPr>
                <w:rFonts w:ascii="Arial" w:hAnsi="Arial"/>
                <w:sz w:val="16"/>
              </w:rPr>
              <w:t>3.5</w:t>
            </w:r>
          </w:p>
        </w:tc>
        <w:tc>
          <w:tcPr>
            <w:tcW w:type="dxa" w:w="2016"/>
          </w:tcPr>
          <w:p>
            <w:r>
              <w:rPr>
                <w:rFonts w:ascii="Arial" w:hAnsi="Arial"/>
                <w:sz w:val="16"/>
              </w:rPr>
              <w:t>0.760</w:t>
            </w:r>
          </w:p>
        </w:tc>
      </w:tr>
      <w:tr>
        <w:tc>
          <w:tcPr>
            <w:tcW w:type="dxa" w:w="2016"/>
          </w:tcPr>
          <w:p>
            <w:r>
              <w:rPr>
                <w:rFonts w:ascii="Arial" w:hAnsi="Arial"/>
                <w:sz w:val="16"/>
              </w:rPr>
              <w:t>Brooklyn</w:t>
            </w:r>
          </w:p>
        </w:tc>
        <w:tc>
          <w:tcPr>
            <w:tcW w:type="dxa" w:w="2016"/>
          </w:tcPr>
          <w:p>
            <w:r>
              <w:rPr>
                <w:rFonts w:ascii="Arial" w:hAnsi="Arial"/>
                <w:sz w:val="16"/>
              </w:rPr>
              <w:t>59.1</w:t>
            </w:r>
          </w:p>
        </w:tc>
        <w:tc>
          <w:tcPr>
            <w:tcW w:type="dxa" w:w="2016"/>
          </w:tcPr>
          <w:p>
            <w:r>
              <w:rPr>
                <w:rFonts w:ascii="Arial" w:hAnsi="Arial"/>
                <w:sz w:val="16"/>
              </w:rPr>
              <w:t>1040.0</w:t>
            </w:r>
          </w:p>
        </w:tc>
        <w:tc>
          <w:tcPr>
            <w:tcW w:type="dxa" w:w="2016"/>
          </w:tcPr>
          <w:p>
            <w:r>
              <w:rPr>
                <w:rFonts w:ascii="Arial" w:hAnsi="Arial"/>
                <w:sz w:val="16"/>
              </w:rPr>
              <w:t>4.8</w:t>
            </w:r>
          </w:p>
        </w:tc>
        <w:tc>
          <w:tcPr>
            <w:tcW w:type="dxa" w:w="2016"/>
          </w:tcPr>
          <w:p>
            <w:r>
              <w:rPr>
                <w:rFonts w:ascii="Arial" w:hAnsi="Arial"/>
                <w:sz w:val="16"/>
              </w:rPr>
              <w:t>0.586</w:t>
            </w:r>
          </w:p>
        </w:tc>
      </w:tr>
      <w:tr>
        <w:tc>
          <w:tcPr>
            <w:tcW w:type="dxa" w:w="2016"/>
          </w:tcPr>
          <w:p>
            <w:r>
              <w:rPr>
                <w:rFonts w:ascii="Arial" w:hAnsi="Arial"/>
                <w:sz w:val="16"/>
              </w:rPr>
              <w:t>Queens</w:t>
            </w:r>
          </w:p>
        </w:tc>
        <w:tc>
          <w:tcPr>
            <w:tcW w:type="dxa" w:w="2016"/>
          </w:tcPr>
          <w:p>
            <w:r>
              <w:rPr>
                <w:rFonts w:ascii="Arial" w:hAnsi="Arial"/>
                <w:sz w:val="16"/>
              </w:rPr>
              <w:t>41.0</w:t>
            </w:r>
          </w:p>
        </w:tc>
        <w:tc>
          <w:tcPr>
            <w:tcW w:type="dxa" w:w="2016"/>
          </w:tcPr>
          <w:p>
            <w:r>
              <w:rPr>
                <w:rFonts w:ascii="Arial" w:hAnsi="Arial"/>
                <w:sz w:val="16"/>
              </w:rPr>
              <w:t>1786.0</w:t>
            </w:r>
          </w:p>
        </w:tc>
        <w:tc>
          <w:tcPr>
            <w:tcW w:type="dxa" w:w="2016"/>
          </w:tcPr>
          <w:p>
            <w:r>
              <w:rPr>
                <w:rFonts w:ascii="Arial" w:hAnsi="Arial"/>
                <w:sz w:val="16"/>
              </w:rPr>
              <w:t>3.0</w:t>
            </w:r>
          </w:p>
        </w:tc>
        <w:tc>
          <w:tcPr>
            <w:tcW w:type="dxa" w:w="2016"/>
          </w:tcPr>
          <w:p>
            <w:r>
              <w:rPr>
                <w:rFonts w:ascii="Arial" w:hAnsi="Arial"/>
                <w:sz w:val="16"/>
              </w:rPr>
              <w:t>0.573</w:t>
            </w:r>
          </w:p>
        </w:tc>
      </w:tr>
      <w:tr>
        <w:tc>
          <w:tcPr>
            <w:tcW w:type="dxa" w:w="2016"/>
          </w:tcPr>
          <w:p>
            <w:r>
              <w:rPr>
                <w:rFonts w:ascii="Arial" w:hAnsi="Arial"/>
                <w:sz w:val="16"/>
              </w:rPr>
              <w:t>Manhattan</w:t>
            </w:r>
          </w:p>
        </w:tc>
        <w:tc>
          <w:tcPr>
            <w:tcW w:type="dxa" w:w="2016"/>
          </w:tcPr>
          <w:p>
            <w:r>
              <w:rPr>
                <w:rFonts w:ascii="Arial" w:hAnsi="Arial"/>
                <w:sz w:val="16"/>
              </w:rPr>
              <w:t>38.6</w:t>
            </w:r>
          </w:p>
        </w:tc>
        <w:tc>
          <w:tcPr>
            <w:tcW w:type="dxa" w:w="2016"/>
          </w:tcPr>
          <w:p>
            <w:r>
              <w:rPr>
                <w:rFonts w:ascii="Arial" w:hAnsi="Arial"/>
                <w:sz w:val="16"/>
              </w:rPr>
              <w:t>262.0</w:t>
            </w:r>
          </w:p>
        </w:tc>
        <w:tc>
          <w:tcPr>
            <w:tcW w:type="dxa" w:w="2016"/>
          </w:tcPr>
          <w:p>
            <w:r>
              <w:rPr>
                <w:rFonts w:ascii="Arial" w:hAnsi="Arial"/>
                <w:sz w:val="16"/>
              </w:rPr>
              <w:t>3.5</w:t>
            </w:r>
          </w:p>
        </w:tc>
        <w:tc>
          <w:tcPr>
            <w:tcW w:type="dxa" w:w="2016"/>
          </w:tcPr>
          <w:p>
            <w:r>
              <w:rPr>
                <w:rFonts w:ascii="Arial" w:hAnsi="Arial"/>
                <w:sz w:val="16"/>
              </w:rPr>
              <w:t>0.465</w:t>
            </w:r>
          </w:p>
        </w:tc>
      </w:tr>
      <w:tr>
        <w:tc>
          <w:tcPr>
            <w:tcW w:type="dxa" w:w="2016"/>
          </w:tcPr>
          <w:p>
            <w:r>
              <w:rPr>
                <w:rFonts w:ascii="Arial" w:hAnsi="Arial"/>
                <w:sz w:val="16"/>
              </w:rPr>
              <w:t>Staten Island</w:t>
            </w:r>
          </w:p>
        </w:tc>
        <w:tc>
          <w:tcPr>
            <w:tcW w:type="dxa" w:w="2016"/>
          </w:tcPr>
          <w:p>
            <w:r>
              <w:rPr>
                <w:rFonts w:ascii="Arial" w:hAnsi="Arial"/>
                <w:sz w:val="16"/>
              </w:rPr>
              <w:t>24.2</w:t>
            </w:r>
          </w:p>
        </w:tc>
        <w:tc>
          <w:tcPr>
            <w:tcW w:type="dxa" w:w="2016"/>
          </w:tcPr>
          <w:p>
            <w:r>
              <w:rPr>
                <w:rFonts w:ascii="Arial" w:hAnsi="Arial"/>
                <w:sz w:val="16"/>
              </w:rPr>
              <w:t>565.0</w:t>
            </w:r>
          </w:p>
        </w:tc>
        <w:tc>
          <w:tcPr>
            <w:tcW w:type="dxa" w:w="2016"/>
          </w:tcPr>
          <w:p>
            <w:r>
              <w:rPr>
                <w:rFonts w:ascii="Arial" w:hAnsi="Arial"/>
                <w:sz w:val="16"/>
              </w:rPr>
              <w:t>3.3</w:t>
            </w:r>
          </w:p>
        </w:tc>
        <w:tc>
          <w:tcPr>
            <w:tcW w:type="dxa" w:w="2016"/>
          </w:tcPr>
          <w:p>
            <w:r>
              <w:rPr>
                <w:rFonts w:ascii="Arial" w:hAnsi="Arial"/>
                <w:sz w:val="16"/>
              </w:rPr>
              <w:t>0.490</w:t>
            </w:r>
          </w:p>
        </w:tc>
      </w:tr>
    </w:tbl>
    <w:p>
      <w:pPr>
        <w:pStyle w:val="Heading1"/>
      </w:pPr>
      <w:r>
        <w:t>Recommended Framing</w:t>
      </w:r>
    </w:p>
    <w:p>
      <w:r>
        <w:t>Use this dataset in the notebook as a policy-alignment and equity-context section: historical outage burden versus current clean-energy eligibility. Keep the main outage models grounded in outage year, severe weather, duration, customer impact, and CVI. Treat Clean Electricity eligibility models as sensitivity checks, not the central causal claim.</w:t>
      </w:r>
    </w:p>
    <w:p>
      <w:pPr>
        <w:pStyle w:val="Heading1"/>
      </w:pPr>
      <w:r>
        <w:t>Next Step</w:t>
      </w:r>
    </w:p>
    <w:p>
      <w:r>
        <w:t>For stronger tract-level inference, add a Census tract crosswalk between older outage/CVI tract IDs and 2025 tract geography. That would improve matching and make the tract-level policy-alignment comparison more defensible.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