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NYC Power Outage EDA</w:t>
      </w:r>
    </w:p>
    <w:p>
      <w:pPr>
        <w:jc w:val="center"/>
      </w:pPr>
      <w:r>
        <w:rPr>
          <w:i/>
          <w:sz w:val="22"/>
        </w:rPr>
        <w:t>Methods and Results Summary by Notebook Part</w:t>
      </w:r>
    </w:p>
    <w:p>
      <w:r>
        <w:t>This document summarizes the analytical workflow used to examine New York City power outage burden from 2014 to 2023. The analysis links outage events with county and tract geography, severe-weather indicators, customer impact measures, outage duration, and Climate Vulnerability Index (CVI) variables. The purpose is to describe how outage frequency and duration vary over time and geography, and to evaluate whether social vulnerability is associated with outage burden after accounting for weather, seasonality, and data structure.</w:t>
      </w:r>
    </w:p>
    <w:p>
      <w:pPr>
        <w:pStyle w:val="Heading1"/>
      </w:pPr>
      <w:r>
        <w:t>Study Scope</w:t>
      </w:r>
    </w:p>
    <w:tbl>
      <w:tblPr>
        <w:tblStyle w:val="TableGrid"/>
        <w:tblW w:type="auto" w:w="0"/>
        <w:tblLook w:firstColumn="1" w:firstRow="1" w:lastColumn="0" w:lastRow="0" w:noHBand="0" w:noVBand="1" w:val="04A0"/>
      </w:tblPr>
      <w:tblGrid>
        <w:gridCol w:w="4968"/>
        <w:gridCol w:w="4968"/>
      </w:tblGrid>
      <w:tr>
        <w:tc>
          <w:tcPr>
            <w:tcW w:type="dxa" w:w="4968"/>
          </w:tcPr>
          <w:p>
            <w:r>
              <w:rPr>
                <w:rFonts w:ascii="Arial" w:hAnsi="Arial"/>
                <w:sz w:val="17"/>
              </w:rPr>
              <w:t>Item</w:t>
            </w:r>
          </w:p>
        </w:tc>
        <w:tc>
          <w:tcPr>
            <w:tcW w:type="dxa" w:w="4968"/>
          </w:tcPr>
          <w:p>
            <w:r>
              <w:rPr>
                <w:rFonts w:ascii="Arial" w:hAnsi="Arial"/>
                <w:sz w:val="17"/>
              </w:rPr>
              <w:t>Specification</w:t>
            </w:r>
          </w:p>
        </w:tc>
      </w:tr>
      <w:tr>
        <w:tc>
          <w:tcPr>
            <w:tcW w:type="dxa" w:w="4968"/>
          </w:tcPr>
          <w:p>
            <w:r>
              <w:rPr>
                <w:rFonts w:ascii="Arial" w:hAnsi="Arial"/>
                <w:sz w:val="17"/>
              </w:rPr>
              <w:t>Study window</w:t>
            </w:r>
          </w:p>
        </w:tc>
        <w:tc>
          <w:tcPr>
            <w:tcW w:type="dxa" w:w="4968"/>
          </w:tcPr>
          <w:p>
            <w:r>
              <w:rPr>
                <w:rFonts w:ascii="Arial" w:hAnsi="Arial"/>
                <w:sz w:val="17"/>
              </w:rPr>
              <w:t>2014-2023</w:t>
            </w:r>
          </w:p>
        </w:tc>
      </w:tr>
      <w:tr>
        <w:tc>
          <w:tcPr>
            <w:tcW w:type="dxa" w:w="4968"/>
          </w:tcPr>
          <w:p>
            <w:r>
              <w:rPr>
                <w:rFonts w:ascii="Arial" w:hAnsi="Arial"/>
                <w:sz w:val="17"/>
              </w:rPr>
              <w:t>Geography</w:t>
            </w:r>
          </w:p>
        </w:tc>
        <w:tc>
          <w:tcPr>
            <w:tcW w:type="dxa" w:w="4968"/>
          </w:tcPr>
          <w:p>
            <w:r>
              <w:rPr>
                <w:rFonts w:ascii="Arial" w:hAnsi="Arial"/>
                <w:sz w:val="17"/>
              </w:rPr>
              <w:t>NYC five counties: Bronx, Brooklyn, Manhattan, Queens, Staten Island</w:t>
            </w:r>
          </w:p>
        </w:tc>
      </w:tr>
      <w:tr>
        <w:tc>
          <w:tcPr>
            <w:tcW w:type="dxa" w:w="4968"/>
          </w:tcPr>
          <w:p>
            <w:r>
              <w:rPr>
                <w:rFonts w:ascii="Arial" w:hAnsi="Arial"/>
                <w:sz w:val="17"/>
              </w:rPr>
              <w:t>Primary source</w:t>
            </w:r>
          </w:p>
        </w:tc>
        <w:tc>
          <w:tcPr>
            <w:tcW w:type="dxa" w:w="4968"/>
          </w:tcPr>
          <w:p>
            <w:r>
              <w:rPr>
                <w:rFonts w:ascii="Arial" w:hAnsi="Arial"/>
                <w:sz w:val="17"/>
              </w:rPr>
              <w:t>Merged outage event file with CVI indicators and severe-weather flags</w:t>
            </w:r>
          </w:p>
        </w:tc>
      </w:tr>
      <w:tr>
        <w:tc>
          <w:tcPr>
            <w:tcW w:type="dxa" w:w="4968"/>
          </w:tcPr>
          <w:p>
            <w:r>
              <w:rPr>
                <w:rFonts w:ascii="Arial" w:hAnsi="Arial"/>
                <w:sz w:val="17"/>
              </w:rPr>
              <w:t>Exploratory unit</w:t>
            </w:r>
          </w:p>
        </w:tc>
        <w:tc>
          <w:tcPr>
            <w:tcW w:type="dxa" w:w="4968"/>
          </w:tcPr>
          <w:p>
            <w:r>
              <w:rPr>
                <w:rFonts w:ascii="Arial" w:hAnsi="Arial"/>
                <w:sz w:val="17"/>
              </w:rPr>
              <w:t>Census tract-year and tract-month summaries</w:t>
            </w:r>
          </w:p>
        </w:tc>
      </w:tr>
      <w:tr>
        <w:tc>
          <w:tcPr>
            <w:tcW w:type="dxa" w:w="4968"/>
          </w:tcPr>
          <w:p>
            <w:r>
              <w:rPr>
                <w:rFonts w:ascii="Arial" w:hAnsi="Arial"/>
                <w:sz w:val="17"/>
              </w:rPr>
              <w:t>Main frequency unit</w:t>
            </w:r>
          </w:p>
        </w:tc>
        <w:tc>
          <w:tcPr>
            <w:tcW w:type="dxa" w:w="4968"/>
          </w:tcPr>
          <w:p>
            <w:r>
              <w:rPr>
                <w:rFonts w:ascii="Arial" w:hAnsi="Arial"/>
                <w:sz w:val="17"/>
              </w:rPr>
              <w:t>Balanced county-month panel with 600 observations</w:t>
            </w:r>
          </w:p>
        </w:tc>
      </w:tr>
      <w:tr>
        <w:tc>
          <w:tcPr>
            <w:tcW w:type="dxa" w:w="4968"/>
          </w:tcPr>
          <w:p>
            <w:r>
              <w:rPr>
                <w:rFonts w:ascii="Arial" w:hAnsi="Arial"/>
                <w:sz w:val="17"/>
              </w:rPr>
              <w:t>Duration unit</w:t>
            </w:r>
          </w:p>
        </w:tc>
        <w:tc>
          <w:tcPr>
            <w:tcW w:type="dxa" w:w="4968"/>
          </w:tcPr>
          <w:p>
            <w:r>
              <w:rPr>
                <w:rFonts w:ascii="Arial" w:hAnsi="Arial"/>
                <w:sz w:val="17"/>
              </w:rPr>
              <w:t>Deduplicated outage-event panel with approximately 4,500 events</w:t>
            </w:r>
          </w:p>
        </w:tc>
      </w:tr>
      <w:tr>
        <w:tc>
          <w:tcPr>
            <w:tcW w:type="dxa" w:w="4968"/>
          </w:tcPr>
          <w:p>
            <w:r>
              <w:rPr>
                <w:rFonts w:ascii="Arial" w:hAnsi="Arial"/>
                <w:sz w:val="17"/>
              </w:rPr>
              <w:t>Core methodological caution</w:t>
            </w:r>
          </w:p>
        </w:tc>
        <w:tc>
          <w:tcPr>
            <w:tcW w:type="dxa" w:w="4968"/>
          </w:tcPr>
          <w:p>
            <w:r>
              <w:rPr>
                <w:rFonts w:ascii="Arial" w:hAnsi="Arial"/>
                <w:sz w:val="17"/>
              </w:rPr>
              <w:t>Tract-level rows are useful for mapping, but outage outcomes repeat within county-year cells; final inference should not rely on false tract-level precision.</w:t>
            </w:r>
          </w:p>
        </w:tc>
      </w:tr>
    </w:tbl>
    <w:p>
      <w:pPr>
        <w:pStyle w:val="Heading1"/>
      </w:pPr>
      <w:r>
        <w:t>Part 0: Data Preparation and NYC Filter</w:t>
      </w:r>
    </w:p>
    <w:p>
      <w:r>
        <w:t>Part 0 prepares the event-level outage/CVI file for analysis. County FIPS and tract FIPS are standardized, outage start times are parsed, years and months are extracted, outage duration is converted to numeric hours, and outage event types are used to create a severe-weather flag. The file is then restricted to the five NYC counties and the 2014-2023 study window.</w:t>
      </w:r>
    </w:p>
    <w:p>
      <w:pPr>
        <w:pStyle w:val="ListBullet"/>
      </w:pPr>
      <w:r>
        <w:t>Methodology: field cleaning, date parsing, FIPS normalization, NYC filtering, and severe-weather flag construction.</w:t>
      </w:r>
    </w:p>
    <w:p>
      <w:pPr>
        <w:pStyle w:val="ListBullet"/>
      </w:pPr>
      <w:r>
        <w:t>Purpose: establish a reproducible analysis panel and ensure that all later summaries use the same geography and time window.</w:t>
      </w:r>
    </w:p>
    <w:p>
      <w:pPr>
        <w:pStyle w:val="ListBullet"/>
      </w:pPr>
      <w:r>
        <w:t>Interpretation role: foundation step only; no substantive inference is made here.</w:t>
      </w:r>
    </w:p>
    <w:p>
      <w:pPr>
        <w:pStyle w:val="Heading1"/>
      </w:pPr>
      <w:r>
        <w:t>Parts 1-3: Initial Tract-Year and Month Effects</w:t>
      </w:r>
    </w:p>
    <w:p>
      <w:r>
        <w:t>Parts 1 through 3 explore whether severe weather, year trends, and month effects are related to outage outcomes. These sections use tract-year summaries and year-by-month counts to identify broad patterns before moving to corrected models.</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Arial" w:hAnsi="Arial"/>
                <w:sz w:val="17"/>
              </w:rPr>
              <w:t>Part</w:t>
            </w:r>
          </w:p>
        </w:tc>
        <w:tc>
          <w:tcPr>
            <w:tcW w:type="dxa" w:w="3312"/>
          </w:tcPr>
          <w:p>
            <w:r>
              <w:rPr>
                <w:rFonts w:ascii="Arial" w:hAnsi="Arial"/>
                <w:sz w:val="17"/>
              </w:rPr>
              <w:t>Methodology</w:t>
            </w:r>
          </w:p>
        </w:tc>
        <w:tc>
          <w:tcPr>
            <w:tcW w:type="dxa" w:w="3312"/>
          </w:tcPr>
          <w:p>
            <w:r>
              <w:rPr>
                <w:rFonts w:ascii="Arial" w:hAnsi="Arial"/>
                <w:sz w:val="17"/>
              </w:rPr>
              <w:t>Use in final interpretation</w:t>
            </w:r>
          </w:p>
        </w:tc>
      </w:tr>
      <w:tr>
        <w:tc>
          <w:tcPr>
            <w:tcW w:type="dxa" w:w="3312"/>
          </w:tcPr>
          <w:p>
            <w:r>
              <w:rPr>
                <w:rFonts w:ascii="Arial" w:hAnsi="Arial"/>
                <w:sz w:val="17"/>
              </w:rPr>
              <w:t>Part 1</w:t>
            </w:r>
          </w:p>
        </w:tc>
        <w:tc>
          <w:tcPr>
            <w:tcW w:type="dxa" w:w="3312"/>
          </w:tcPr>
          <w:p>
            <w:r>
              <w:rPr>
                <w:rFonts w:ascii="Arial" w:hAnsi="Arial"/>
                <w:sz w:val="17"/>
              </w:rPr>
              <w:t>Per-tract OLS models of outage occurrence and log duration on severe-weather count, with FDR correction.</w:t>
            </w:r>
          </w:p>
        </w:tc>
        <w:tc>
          <w:tcPr>
            <w:tcW w:type="dxa" w:w="3312"/>
          </w:tcPr>
          <w:p>
            <w:r>
              <w:rPr>
                <w:rFonts w:ascii="Arial" w:hAnsi="Arial"/>
                <w:sz w:val="17"/>
              </w:rPr>
              <w:t>Exploratory screen for weather-outage association.</w:t>
            </w:r>
          </w:p>
        </w:tc>
      </w:tr>
      <w:tr>
        <w:tc>
          <w:tcPr>
            <w:tcW w:type="dxa" w:w="3312"/>
          </w:tcPr>
          <w:p>
            <w:r>
              <w:rPr>
                <w:rFonts w:ascii="Arial" w:hAnsi="Arial"/>
                <w:sz w:val="17"/>
              </w:rPr>
              <w:t>Part 2</w:t>
            </w:r>
          </w:p>
        </w:tc>
        <w:tc>
          <w:tcPr>
            <w:tcW w:type="dxa" w:w="3312"/>
          </w:tcPr>
          <w:p>
            <w:r>
              <w:rPr>
                <w:rFonts w:ascii="Arial" w:hAnsi="Arial"/>
                <w:sz w:val="17"/>
              </w:rPr>
              <w:t>Per-tract year-trend OLS, Kendall tau, and Theil-Sen slope checks.</w:t>
            </w:r>
          </w:p>
        </w:tc>
        <w:tc>
          <w:tcPr>
            <w:tcW w:type="dxa" w:w="3312"/>
          </w:tcPr>
          <w:p>
            <w:r>
              <w:rPr>
                <w:rFonts w:ascii="Arial" w:hAnsi="Arial"/>
                <w:sz w:val="17"/>
              </w:rPr>
              <w:t>Describes temporal patterns but is not final causal evidence.</w:t>
            </w:r>
          </w:p>
        </w:tc>
      </w:tr>
      <w:tr>
        <w:tc>
          <w:tcPr>
            <w:tcW w:type="dxa" w:w="3312"/>
          </w:tcPr>
          <w:p>
            <w:r>
              <w:rPr>
                <w:rFonts w:ascii="Arial" w:hAnsi="Arial"/>
                <w:sz w:val="17"/>
              </w:rPr>
              <w:t>Part 3</w:t>
            </w:r>
          </w:p>
        </w:tc>
        <w:tc>
          <w:tcPr>
            <w:tcW w:type="dxa" w:w="3312"/>
          </w:tcPr>
          <w:p>
            <w:r>
              <w:rPr>
                <w:rFonts w:ascii="Arial" w:hAnsi="Arial"/>
                <w:sz w:val="17"/>
              </w:rPr>
              <w:t>Year-by-month chi-square tests and FDR-adjusted residual checks.</w:t>
            </w:r>
          </w:p>
        </w:tc>
        <w:tc>
          <w:tcPr>
            <w:tcW w:type="dxa" w:w="3312"/>
          </w:tcPr>
          <w:p>
            <w:r>
              <w:rPr>
                <w:rFonts w:ascii="Arial" w:hAnsi="Arial"/>
                <w:sz w:val="17"/>
              </w:rPr>
              <w:t>Identifies seasonality and motivates month controls in later models.</w:t>
            </w:r>
          </w:p>
        </w:tc>
      </w:tr>
    </w:tbl>
    <w:p>
      <w:r>
        <w:t>These early analyses are useful for pattern discovery, but they are not the strongest evidence because tract-level observations do not represent fully independent outage outcomes.</w:t>
      </w:r>
    </w:p>
    <w:p>
      <w:pPr>
        <w:pStyle w:val="Heading1"/>
      </w:pPr>
      <w:r>
        <w:t>Parts 4-6: Visualization, Correlation, and Seasonality Clustering</w:t>
      </w:r>
    </w:p>
    <w:p>
      <w:r>
        <w:t>Parts 4 through 6 summarize spatial and seasonal structure. Visualizations show annual totals and monthly heat maps. Spearman correlations are used because outage counts and duration are skewed. K-means clustering is applied to monthly outage-share profiles to summarize seasonality patterns.</w:t>
      </w:r>
    </w:p>
    <w:p>
      <w:pPr>
        <w:pStyle w:val="ListBullet"/>
      </w:pPr>
      <w:r>
        <w:t>Methodology: descriptive visualization, nonparametric correlation, and clustering of monthly outage-share profiles.</w:t>
      </w:r>
    </w:p>
    <w:p>
      <w:pPr>
        <w:pStyle w:val="ListBullet"/>
      </w:pPr>
      <w:r>
        <w:t>Main role: communicate patterns and diagnose structure before modeling.</w:t>
      </w:r>
    </w:p>
    <w:p>
      <w:pPr>
        <w:pStyle w:val="ListBullet"/>
      </w:pPr>
      <w:r>
        <w:t>Important caveat: the clustering reflects county-level seasonality more than true tract-level heterogeneity because many tract profiles duplicate county patterns.</w:t>
      </w:r>
    </w:p>
    <w:p>
      <w:pPr>
        <w:pStyle w:val="Heading1"/>
      </w:pPr>
      <w:r>
        <w:t>Part 7: CVI Variables and Exploratory Regressions</w:t>
      </w:r>
    </w:p>
    <w:p>
      <w:r>
        <w:t>Part 7 adds CVI measures to the outage panel. The candidate variables include overall CVI, baseline social-economic CVI, baseline infrastructure CVI, and climate/extreme-events CVI. Exploratory tract-year regressions are used to understand possible vulnerability relationships.</w:t>
      </w:r>
    </w:p>
    <w:p>
      <w:pPr>
        <w:pStyle w:val="ListBullet"/>
      </w:pPr>
      <w:r>
        <w:t>Methodology: merge tract-level CVI features, construct tract-year outcomes, and fit exploratory regression models.</w:t>
      </w:r>
    </w:p>
    <w:p>
      <w:pPr>
        <w:pStyle w:val="ListBullet"/>
      </w:pPr>
      <w:r>
        <w:t>Key caution: CVI variables are correlated with one another, so models with many CVI predictors can produce unstable coefficients.</w:t>
      </w:r>
    </w:p>
    <w:p>
      <w:pPr>
        <w:pStyle w:val="ListBullet"/>
      </w:pPr>
      <w:r>
        <w:t>Interpretation role: hypothesis generation rather than final evidence.</w:t>
      </w:r>
    </w:p>
    <w:p>
      <w:pPr>
        <w:pStyle w:val="Heading1"/>
      </w:pPr>
      <w:r>
        <w:t>Part 8: Data Structure Correction</w:t>
      </w:r>
    </w:p>
    <w:p>
      <w:r>
        <w:t>Part 8 is the methodological turning point. It shows that outage occurrence, mean duration, and severe-weather count are often identical for tracts within the same county-year. This means tract-level regressions create a misleading sense of precision. The corrected analysis therefore collapses the data to county-year and county-month panels for the main frequency models.</w:t>
      </w:r>
    </w:p>
    <w:p>
      <w:pPr>
        <w:pStyle w:val="ListBullet"/>
      </w:pPr>
      <w:r>
        <w:t>Methodology: county-year consistency checks, county-year collapse, OLS/Poisson diagnostics, and VIF checks.</w:t>
      </w:r>
    </w:p>
    <w:p>
      <w:pPr>
        <w:pStyle w:val="ListBullet"/>
      </w:pPr>
      <w:r>
        <w:t>Reason for correction: repeated tract rows do not add independent outage information.</w:t>
      </w:r>
    </w:p>
    <w:p>
      <w:pPr>
        <w:pStyle w:val="ListBullet"/>
      </w:pPr>
      <w:r>
        <w:t>Final implication: tract-level results should be used for maps and screening; county-month and event-level models should carry the main interpretation.</w:t>
      </w:r>
    </w:p>
    <w:p>
      <w:pPr>
        <w:pStyle w:val="Heading1"/>
      </w:pPr>
      <w:r>
        <w:t>Part 8b and Part 9: Corrected Frequency Models</w:t>
      </w:r>
    </w:p>
    <w:p>
      <w:r>
        <w:t>The corrected frequency analysis uses count models and county-month models. Poisson diagnostics show substantial overdispersion, so Negative Binomial models are preferred for outage counts. Part 9 then estimates one main CVI concept at a time in a county-month framework with time, severe-weather, and month controls.</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Arial" w:hAnsi="Arial"/>
                <w:sz w:val="17"/>
              </w:rPr>
              <w:t>Model component</w:t>
            </w:r>
          </w:p>
        </w:tc>
        <w:tc>
          <w:tcPr>
            <w:tcW w:type="dxa" w:w="3312"/>
          </w:tcPr>
          <w:p>
            <w:r>
              <w:rPr>
                <w:rFonts w:ascii="Arial" w:hAnsi="Arial"/>
                <w:sz w:val="17"/>
              </w:rPr>
              <w:t>Methodology</w:t>
            </w:r>
          </w:p>
        </w:tc>
        <w:tc>
          <w:tcPr>
            <w:tcW w:type="dxa" w:w="3312"/>
          </w:tcPr>
          <w:p>
            <w:r>
              <w:rPr>
                <w:rFonts w:ascii="Arial" w:hAnsi="Arial"/>
                <w:sz w:val="17"/>
              </w:rPr>
              <w:t>Interpretation</w:t>
            </w:r>
          </w:p>
        </w:tc>
      </w:tr>
      <w:tr>
        <w:tc>
          <w:tcPr>
            <w:tcW w:type="dxa" w:w="3312"/>
          </w:tcPr>
          <w:p>
            <w:r>
              <w:rPr>
                <w:rFonts w:ascii="Arial" w:hAnsi="Arial"/>
                <w:sz w:val="17"/>
              </w:rPr>
              <w:t>Overdispersion check</w:t>
            </w:r>
          </w:p>
        </w:tc>
        <w:tc>
          <w:tcPr>
            <w:tcW w:type="dxa" w:w="3312"/>
          </w:tcPr>
          <w:p>
            <w:r>
              <w:rPr>
                <w:rFonts w:ascii="Arial" w:hAnsi="Arial"/>
                <w:sz w:val="17"/>
              </w:rPr>
              <w:t>Compare Poisson assumptions against observed count variance.</w:t>
            </w:r>
          </w:p>
        </w:tc>
        <w:tc>
          <w:tcPr>
            <w:tcW w:type="dxa" w:w="3312"/>
          </w:tcPr>
          <w:p>
            <w:r>
              <w:rPr>
                <w:rFonts w:ascii="Arial" w:hAnsi="Arial"/>
                <w:sz w:val="17"/>
              </w:rPr>
              <w:t>Poisson is too restrictive when overdispersion is high.</w:t>
            </w:r>
          </w:p>
        </w:tc>
      </w:tr>
      <w:tr>
        <w:tc>
          <w:tcPr>
            <w:tcW w:type="dxa" w:w="3312"/>
          </w:tcPr>
          <w:p>
            <w:r>
              <w:rPr>
                <w:rFonts w:ascii="Arial" w:hAnsi="Arial"/>
                <w:sz w:val="17"/>
              </w:rPr>
              <w:t>Negative Binomial</w:t>
            </w:r>
          </w:p>
        </w:tc>
        <w:tc>
          <w:tcPr>
            <w:tcW w:type="dxa" w:w="3312"/>
          </w:tcPr>
          <w:p>
            <w:r>
              <w:rPr>
                <w:rFonts w:ascii="Arial" w:hAnsi="Arial"/>
                <w:sz w:val="17"/>
              </w:rPr>
              <w:t>Use an overdispersed count model for outage frequency.</w:t>
            </w:r>
          </w:p>
        </w:tc>
        <w:tc>
          <w:tcPr>
            <w:tcW w:type="dxa" w:w="3312"/>
          </w:tcPr>
          <w:p>
            <w:r>
              <w:rPr>
                <w:rFonts w:ascii="Arial" w:hAnsi="Arial"/>
                <w:sz w:val="17"/>
              </w:rPr>
              <w:t>Preferred count-model family for frequency.</w:t>
            </w:r>
          </w:p>
        </w:tc>
      </w:tr>
      <w:tr>
        <w:tc>
          <w:tcPr>
            <w:tcW w:type="dxa" w:w="3312"/>
          </w:tcPr>
          <w:p>
            <w:r>
              <w:rPr>
                <w:rFonts w:ascii="Arial" w:hAnsi="Arial"/>
                <w:sz w:val="17"/>
              </w:rPr>
              <w:t>County-month panel</w:t>
            </w:r>
          </w:p>
        </w:tc>
        <w:tc>
          <w:tcPr>
            <w:tcW w:type="dxa" w:w="3312"/>
          </w:tcPr>
          <w:p>
            <w:r>
              <w:rPr>
                <w:rFonts w:ascii="Arial" w:hAnsi="Arial"/>
                <w:sz w:val="17"/>
              </w:rPr>
              <w:t>Five counties x ten years x twelve months, producing 600 observations.</w:t>
            </w:r>
          </w:p>
        </w:tc>
        <w:tc>
          <w:tcPr>
            <w:tcW w:type="dxa" w:w="3312"/>
          </w:tcPr>
          <w:p>
            <w:r>
              <w:rPr>
                <w:rFonts w:ascii="Arial" w:hAnsi="Arial"/>
                <w:sz w:val="17"/>
              </w:rPr>
              <w:t>Main frequency model because it accounts for seasonality and avoids tract-level pseudo-replication.</w:t>
            </w:r>
          </w:p>
        </w:tc>
      </w:tr>
      <w:tr>
        <w:tc>
          <w:tcPr>
            <w:tcW w:type="dxa" w:w="3312"/>
          </w:tcPr>
          <w:p>
            <w:r>
              <w:rPr>
                <w:rFonts w:ascii="Arial" w:hAnsi="Arial"/>
                <w:sz w:val="17"/>
              </w:rPr>
              <w:t>One-CVI-at-a-time models</w:t>
            </w:r>
          </w:p>
        </w:tc>
        <w:tc>
          <w:tcPr>
            <w:tcW w:type="dxa" w:w="3312"/>
          </w:tcPr>
          <w:p>
            <w:r>
              <w:rPr>
                <w:rFonts w:ascii="Arial" w:hAnsi="Arial"/>
                <w:sz w:val="17"/>
              </w:rPr>
              <w:t>Estimate separate models for overall, social-economic, climate, and high-vulnerability-share concepts.</w:t>
            </w:r>
          </w:p>
        </w:tc>
        <w:tc>
          <w:tcPr>
            <w:tcW w:type="dxa" w:w="3312"/>
          </w:tcPr>
          <w:p>
            <w:r>
              <w:rPr>
                <w:rFonts w:ascii="Arial" w:hAnsi="Arial"/>
                <w:sz w:val="17"/>
              </w:rPr>
              <w:t>Improves interpretability and reduces multicollinearity problems.</w:t>
            </w:r>
          </w:p>
        </w:tc>
      </w:tr>
    </w:tbl>
    <w:p>
      <w:r>
        <w:t>The clearest vulnerability signal appears for social-economic CVI. In the county-month Poisson specification, a one-standard-deviation increase in social-economic CVI is associated with an incidence rate ratio of approximately 1.20, or about 20 percent higher monthly outage counts, conditional on the model controls.</w:t>
      </w:r>
    </w:p>
    <w:p>
      <w:pPr>
        <w:pStyle w:val="Heading1"/>
      </w:pPr>
      <w:r>
        <w:t>Part 9b: Theory-Driven CVI Selection and Ridge Sensitivity</w:t>
      </w:r>
    </w:p>
    <w:p>
      <w:r>
        <w:t>Part 9b narrows the vulnerability question to theoretically motivated predictors, including social-economic CVI, infrastructure CVI, and severe-weather count. OLS and Ridge models are compared to assess whether coefficient signs remain stable when predictors are correlated.</w:t>
      </w:r>
    </w:p>
    <w:p>
      <w:pPr>
        <w:pStyle w:val="ListBullet"/>
      </w:pPr>
      <w:r>
        <w:t>Methodology: compare OLS estimates with Ridge sensitivity models.</w:t>
      </w:r>
    </w:p>
    <w:p>
      <w:pPr>
        <w:pStyle w:val="ListBullet"/>
      </w:pPr>
      <w:r>
        <w:t>Use of Ridge: directional robustness check, not the primary explanatory model.</w:t>
      </w:r>
    </w:p>
    <w:p>
      <w:pPr>
        <w:pStyle w:val="ListBullet"/>
      </w:pPr>
      <w:r>
        <w:t>Interpretation: infrastructure CVI is positive but imprecise; social-economic CVI is directionally consistent but still sensitive to small county-level sample size.</w:t>
      </w:r>
    </w:p>
    <w:p>
      <w:pPr>
        <w:pStyle w:val="Heading1"/>
      </w:pPr>
      <w:r>
        <w:t>Part 10 and Part 10b: Duration and Resilience Models</w:t>
      </w:r>
    </w:p>
    <w:p>
      <w:r>
        <w:t>Parts 10 and 10b separate outage frequency from outage resilience. Frequency asks whether outages occur more often. Duration asks whether outages last longer once they occur. This distinction matters because high-burden communities may be affected through restoration time rather than event count alone.</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Arial" w:hAnsi="Arial"/>
                <w:sz w:val="17"/>
              </w:rPr>
              <w:t>Outcome family</w:t>
            </w:r>
          </w:p>
        </w:tc>
        <w:tc>
          <w:tcPr>
            <w:tcW w:type="dxa" w:w="3312"/>
          </w:tcPr>
          <w:p>
            <w:r>
              <w:rPr>
                <w:rFonts w:ascii="Arial" w:hAnsi="Arial"/>
                <w:sz w:val="17"/>
              </w:rPr>
              <w:t>Methodology</w:t>
            </w:r>
          </w:p>
        </w:tc>
        <w:tc>
          <w:tcPr>
            <w:tcW w:type="dxa" w:w="3312"/>
          </w:tcPr>
          <w:p>
            <w:r>
              <w:rPr>
                <w:rFonts w:ascii="Arial" w:hAnsi="Arial"/>
                <w:sz w:val="17"/>
              </w:rPr>
              <w:t>Main interpretation</w:t>
            </w:r>
          </w:p>
        </w:tc>
      </w:tr>
      <w:tr>
        <w:tc>
          <w:tcPr>
            <w:tcW w:type="dxa" w:w="3312"/>
          </w:tcPr>
          <w:p>
            <w:r>
              <w:rPr>
                <w:rFonts w:ascii="Arial" w:hAnsi="Arial"/>
                <w:sz w:val="17"/>
              </w:rPr>
              <w:t>County-year duration</w:t>
            </w:r>
          </w:p>
        </w:tc>
        <w:tc>
          <w:tcPr>
            <w:tcW w:type="dxa" w:w="3312"/>
          </w:tcPr>
          <w:p>
            <w:r>
              <w:rPr>
                <w:rFonts w:ascii="Arial" w:hAnsi="Arial"/>
                <w:sz w:val="17"/>
              </w:rPr>
              <w:t>Median duration, p90 duration, share above 8 hours, and share above 24 hours.</w:t>
            </w:r>
          </w:p>
        </w:tc>
        <w:tc>
          <w:tcPr>
            <w:tcW w:type="dxa" w:w="3312"/>
          </w:tcPr>
          <w:p>
            <w:r>
              <w:rPr>
                <w:rFonts w:ascii="Arial" w:hAnsi="Arial"/>
                <w:sz w:val="17"/>
              </w:rPr>
              <w:t>Useful but limited by small county-year sample.</w:t>
            </w:r>
          </w:p>
        </w:tc>
      </w:tr>
      <w:tr>
        <w:tc>
          <w:tcPr>
            <w:tcW w:type="dxa" w:w="3312"/>
          </w:tcPr>
          <w:p>
            <w:r>
              <w:rPr>
                <w:rFonts w:ascii="Arial" w:hAnsi="Arial"/>
                <w:sz w:val="17"/>
              </w:rPr>
              <w:t>Event-level log duration</w:t>
            </w:r>
          </w:p>
        </w:tc>
        <w:tc>
          <w:tcPr>
            <w:tcW w:type="dxa" w:w="3312"/>
          </w:tcPr>
          <w:p>
            <w:r>
              <w:rPr>
                <w:rFonts w:ascii="Arial" w:hAnsi="Arial"/>
                <w:sz w:val="17"/>
              </w:rPr>
              <w:t>OLS and clustered/sensitivity specifications on deduplicated outage events.</w:t>
            </w:r>
          </w:p>
        </w:tc>
        <w:tc>
          <w:tcPr>
            <w:tcW w:type="dxa" w:w="3312"/>
          </w:tcPr>
          <w:p>
            <w:r>
              <w:rPr>
                <w:rFonts w:ascii="Arial" w:hAnsi="Arial"/>
                <w:sz w:val="17"/>
              </w:rPr>
              <w:t>Stronger duration evidence because the event is the unit of analysis.</w:t>
            </w:r>
          </w:p>
        </w:tc>
      </w:tr>
      <w:tr>
        <w:tc>
          <w:tcPr>
            <w:tcW w:type="dxa" w:w="3312"/>
          </w:tcPr>
          <w:p>
            <w:r>
              <w:rPr>
                <w:rFonts w:ascii="Arial" w:hAnsi="Arial"/>
                <w:sz w:val="17"/>
              </w:rPr>
              <w:t>Severe outage probability</w:t>
            </w:r>
          </w:p>
        </w:tc>
        <w:tc>
          <w:tcPr>
            <w:tcW w:type="dxa" w:w="3312"/>
          </w:tcPr>
          <w:p>
            <w:r>
              <w:rPr>
                <w:rFonts w:ascii="Arial" w:hAnsi="Arial"/>
                <w:sz w:val="17"/>
              </w:rPr>
              <w:t>Logistic or GEE-style binary models for long/severe outage outcomes.</w:t>
            </w:r>
          </w:p>
        </w:tc>
        <w:tc>
          <w:tcPr>
            <w:tcW w:type="dxa" w:w="3312"/>
          </w:tcPr>
          <w:p>
            <w:r>
              <w:rPr>
                <w:rFonts w:ascii="Arial" w:hAnsi="Arial"/>
                <w:sz w:val="17"/>
              </w:rPr>
              <w:t>Appropriate for binary severe-outage indicators.</w:t>
            </w:r>
          </w:p>
        </w:tc>
      </w:tr>
      <w:tr>
        <w:tc>
          <w:tcPr>
            <w:tcW w:type="dxa" w:w="3312"/>
          </w:tcPr>
          <w:p>
            <w:r>
              <w:rPr>
                <w:rFonts w:ascii="Arial" w:hAnsi="Arial"/>
                <w:sz w:val="17"/>
              </w:rPr>
              <w:t>Customer-hours</w:t>
            </w:r>
          </w:p>
        </w:tc>
        <w:tc>
          <w:tcPr>
            <w:tcW w:type="dxa" w:w="3312"/>
          </w:tcPr>
          <w:p>
            <w:r>
              <w:rPr>
                <w:rFonts w:ascii="Arial" w:hAnsi="Arial"/>
                <w:sz w:val="17"/>
              </w:rPr>
              <w:t>Event-level customer impact multiplied by duration.</w:t>
            </w:r>
          </w:p>
        </w:tc>
        <w:tc>
          <w:tcPr>
            <w:tcW w:type="dxa" w:w="3312"/>
          </w:tcPr>
          <w:p>
            <w:r>
              <w:rPr>
                <w:rFonts w:ascii="Arial" w:hAnsi="Arial"/>
                <w:sz w:val="17"/>
              </w:rPr>
              <w:t>Captures both outage length and affected customers.</w:t>
            </w:r>
          </w:p>
        </w:tc>
      </w:tr>
    </w:tbl>
    <w:p>
      <w:r>
        <w:t>Severe weather is the most consistent predictor of longer duration and larger customer-hour impacts. CVI duration evidence is weaker and more model-sensitive, although social-economic CVI remains the most plausible vulnerability channel.</w:t>
      </w:r>
    </w:p>
    <w:p>
      <w:pPr>
        <w:pStyle w:val="Heading1"/>
      </w:pPr>
      <w:r>
        <w:t>Part 11: Robustness Summary</w:t>
      </w:r>
    </w:p>
    <w:p>
      <w:r>
        <w:t>Part 11 compares results across county-year frequency, county-year duration, event-level OLS, and event-level Ridge specifications. This section is important because it prevents the analysis from relying on a single model specification.</w:t>
      </w:r>
    </w:p>
    <w:p>
      <w:pPr>
        <w:pStyle w:val="ListBullet"/>
      </w:pPr>
      <w:r>
        <w:t>Methodology: compare coefficient direction, interval coverage, and model level across specifications.</w:t>
      </w:r>
    </w:p>
    <w:p>
      <w:pPr>
        <w:pStyle w:val="ListBullet"/>
      </w:pPr>
      <w:r>
        <w:t>Main finding: severe weather is robust across model families; social-economic CVI is the clearest vulnerability signal but not uniformly significant.</w:t>
      </w:r>
    </w:p>
    <w:p>
      <w:pPr>
        <w:pStyle w:val="ListBullet"/>
      </w:pPr>
      <w:r>
        <w:t>Recommended language: describe CVI findings as policy-relevant and directional rather than definitive across every outcome.</w:t>
      </w:r>
    </w:p>
    <w:p>
      <w:pPr>
        <w:pStyle w:val="Heading1"/>
      </w:pPr>
      <w:r>
        <w:t>Part 12: Mechanism Interpretation</w:t>
      </w:r>
    </w:p>
    <w:p>
      <w:r>
        <w:t>Part 12 synthesizes the frequency and duration evidence. The careful interpretation is that outage burden has a strong weather component and a more cautious vulnerability component. Social-economic vulnerability appears most relevant in the corrected county-month frequency model and in selected event-level duration sensitivity checks.</w:t>
      </w:r>
    </w:p>
    <w:p>
      <w:pPr>
        <w:pStyle w:val="ListBullet"/>
      </w:pPr>
      <w:r>
        <w:t>Strongest claim: severe weather is consistently associated with more severe outage outcomes.</w:t>
      </w:r>
    </w:p>
    <w:p>
      <w:pPr>
        <w:pStyle w:val="ListBullet"/>
      </w:pPr>
      <w:r>
        <w:t>Most credible CVI pattern: social-economic vulnerability is associated with higher outage frequency and may relate to longer restoration burden.</w:t>
      </w:r>
    </w:p>
    <w:p>
      <w:pPr>
        <w:pStyle w:val="ListBullet"/>
      </w:pPr>
      <w:r>
        <w:t>What not to claim: every CVI dimension predicts every outage outcome. Climate-extreme-events CVI, in particular, should be treated cautiously because its sign is not intuitive in some models.</w:t>
      </w:r>
    </w:p>
    <w:p>
      <w:pPr>
        <w:pStyle w:val="Heading1"/>
      </w:pPr>
      <w:r>
        <w:t>Key Limitations</w:t>
      </w:r>
    </w:p>
    <w:p>
      <w:pPr>
        <w:pStyle w:val="ListBullet"/>
      </w:pPr>
      <w:r>
        <w:t>County-year models have approximately 50 observations, so p-values and confidence intervals should be interpreted cautiously.</w:t>
      </w:r>
    </w:p>
    <w:p>
      <w:pPr>
        <w:pStyle w:val="ListBullet"/>
      </w:pPr>
      <w:r>
        <w:t>Only five counties are observed, which makes cross-sectional estimates sensitive to individual counties.</w:t>
      </w:r>
    </w:p>
    <w:p>
      <w:pPr>
        <w:pStyle w:val="ListBullet"/>
      </w:pPr>
      <w:r>
        <w:t>Tract-level regressions are exploratory because outage outcomes repeat within county-year cells.</w:t>
      </w:r>
    </w:p>
    <w:p>
      <w:pPr>
        <w:pStyle w:val="ListBullet"/>
      </w:pPr>
      <w:r>
        <w:t>Ridge models should be treated as sensitivity checks unless alpha is selected by cross-validation.</w:t>
      </w:r>
    </w:p>
    <w:p>
      <w:pPr>
        <w:pStyle w:val="ListBullet"/>
      </w:pPr>
      <w:r>
        <w:t>The severe-weather flag should be documented more fully, especially whether it is assigned at the event level or row level.</w:t>
      </w:r>
    </w:p>
    <w:p>
      <w:pPr>
        <w:pStyle w:val="ListBullet"/>
      </w:pPr>
      <w:r>
        <w:t>True tract-level inference would require more granular utility outage data or a data source where outage outcomes vary independently by tract.</w:t>
      </w:r>
    </w:p>
    <w:p>
      <w:pPr>
        <w:pStyle w:val="Heading1"/>
      </w:pPr>
      <w:r>
        <w:t>Recommended Final Framing</w:t>
      </w:r>
    </w:p>
    <w:p>
      <w:r>
        <w:t>The final narrative should emphasize severe weather first, social-economic vulnerability second, and uncertainty third. The strongest evidence is that severe weather is associated with more serious outage outcomes. The most credible equity finding is that social-economic vulnerability is associated with outage frequency in the corrected county-month model and may also be relevant for duration in event-level sensitivity checks. The analysis should be presented as an EDA and modeling workflow that identifies policy-relevant vulnerability patterns, not as a causal proof that CVI alone determines outage burden.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NYC Power Outage EDA | Methods and Results Summary by Notebook Part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