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2"/>
        </w:rPr>
        <w:t>NYC Power Outage EDA</w:t>
      </w:r>
    </w:p>
    <w:p>
      <w:pPr>
        <w:spacing w:after="120"/>
        <w:jc w:val="center"/>
      </w:pPr>
      <w:r>
        <w:rPr>
          <w:rFonts w:ascii="Times New Roman" w:hAnsi="Times New Roman"/>
          <w:i/>
          <w:sz w:val="22"/>
        </w:rPr>
        <w:t>Methods and Results Summary by Notebook Part</w:t>
      </w:r>
    </w:p>
    <w:p>
      <w:pPr>
        <w:spacing w:after="120"/>
      </w:pPr>
      <w:r>
        <w:rPr>
          <w:rFonts w:ascii="Times New Roman" w:hAnsi="Times New Roman"/>
          <w:sz w:val="22"/>
        </w:rPr>
        <w:t>This document summarizes the analytical workflow used to examine New York City power outage burden from 2014 to 2023. The analysis links outage events with county and tract geography, severe-weather indicators, customer impact measures, outage duration, and Climate Vulnerability Index (CVI) variables. The purpose is to describe how outage frequency and duration vary over time and geography, and to evaluate whether social vulnerability is associated with outage burden after accounting for weather, seasonality, and data structure.</w:t>
      </w:r>
    </w:p>
    <w:p>
      <w:pPr>
        <w:pStyle w:val="Heading1"/>
        <w:spacing w:after="120"/>
      </w:pPr>
      <w:r>
        <w:rPr>
          <w:rFonts w:ascii="Times New Roman" w:hAnsi="Times New Roman"/>
          <w:sz w:val="22"/>
        </w:rPr>
        <w:t>Study Scope</w:t>
      </w:r>
    </w:p>
    <w:p>
      <w:pPr>
        <w:spacing w:after="120"/>
      </w:pPr>
      <w:r>
        <w:rPr>
          <w:rFonts w:ascii="Times New Roman" w:hAnsi="Times New Roman"/>
          <w:b/>
          <w:sz w:val="22"/>
        </w:rPr>
        <w:t>Study scope details:</w:t>
      </w:r>
    </w:p>
    <w:p>
      <w:pPr>
        <w:spacing w:after="120"/>
        <w:ind w:left="360"/>
      </w:pPr>
      <w:r>
        <w:rPr>
          <w:rFonts w:ascii="Times New Roman" w:hAnsi="Times New Roman"/>
          <w:b/>
          <w:sz w:val="22"/>
        </w:rPr>
        <w:t xml:space="preserve">Study window: </w:t>
      </w:r>
      <w:r>
        <w:rPr>
          <w:rFonts w:ascii="Times New Roman" w:hAnsi="Times New Roman"/>
          <w:sz w:val="22"/>
        </w:rPr>
        <w:t>2014-2023</w:t>
      </w:r>
    </w:p>
    <w:p>
      <w:pPr>
        <w:spacing w:after="120"/>
        <w:ind w:left="360"/>
      </w:pPr>
      <w:r>
        <w:rPr>
          <w:rFonts w:ascii="Times New Roman" w:hAnsi="Times New Roman"/>
          <w:b/>
          <w:sz w:val="22"/>
        </w:rPr>
        <w:t xml:space="preserve">Geography: </w:t>
      </w:r>
      <w:r>
        <w:rPr>
          <w:rFonts w:ascii="Times New Roman" w:hAnsi="Times New Roman"/>
          <w:sz w:val="22"/>
        </w:rPr>
        <w:t>NYC five counties: Bronx, Brooklyn, Manhattan, Queens, Staten Island</w:t>
      </w:r>
    </w:p>
    <w:p>
      <w:pPr>
        <w:spacing w:after="120"/>
        <w:ind w:left="360"/>
      </w:pPr>
      <w:r>
        <w:rPr>
          <w:rFonts w:ascii="Times New Roman" w:hAnsi="Times New Roman"/>
          <w:b/>
          <w:sz w:val="22"/>
        </w:rPr>
        <w:t xml:space="preserve">Primary source: </w:t>
      </w:r>
      <w:r>
        <w:rPr>
          <w:rFonts w:ascii="Times New Roman" w:hAnsi="Times New Roman"/>
          <w:sz w:val="22"/>
        </w:rPr>
        <w:t>Merged outage event file with CVI indicators and severe-weather flags</w:t>
      </w:r>
    </w:p>
    <w:p>
      <w:pPr>
        <w:spacing w:after="120"/>
        <w:ind w:left="360"/>
      </w:pPr>
      <w:r>
        <w:rPr>
          <w:rFonts w:ascii="Times New Roman" w:hAnsi="Times New Roman"/>
          <w:b/>
          <w:sz w:val="22"/>
        </w:rPr>
        <w:t xml:space="preserve">Exploratory unit: </w:t>
      </w:r>
      <w:r>
        <w:rPr>
          <w:rFonts w:ascii="Times New Roman" w:hAnsi="Times New Roman"/>
          <w:sz w:val="22"/>
        </w:rPr>
        <w:t>Census tract-year and tract-month summaries</w:t>
      </w:r>
    </w:p>
    <w:p>
      <w:pPr>
        <w:spacing w:after="120"/>
        <w:ind w:left="360"/>
      </w:pPr>
      <w:r>
        <w:rPr>
          <w:rFonts w:ascii="Times New Roman" w:hAnsi="Times New Roman"/>
          <w:b/>
          <w:sz w:val="22"/>
        </w:rPr>
        <w:t xml:space="preserve">Main frequency unit: </w:t>
      </w:r>
      <w:r>
        <w:rPr>
          <w:rFonts w:ascii="Times New Roman" w:hAnsi="Times New Roman"/>
          <w:sz w:val="22"/>
        </w:rPr>
        <w:t>Balanced county-month panel with 600 observations</w:t>
      </w:r>
    </w:p>
    <w:p>
      <w:pPr>
        <w:spacing w:after="120"/>
        <w:ind w:left="360"/>
      </w:pPr>
      <w:r>
        <w:rPr>
          <w:rFonts w:ascii="Times New Roman" w:hAnsi="Times New Roman"/>
          <w:b/>
          <w:sz w:val="22"/>
        </w:rPr>
        <w:t xml:space="preserve">Duration unit: </w:t>
      </w:r>
      <w:r>
        <w:rPr>
          <w:rFonts w:ascii="Times New Roman" w:hAnsi="Times New Roman"/>
          <w:sz w:val="22"/>
        </w:rPr>
        <w:t>Deduplicated outage-event panel with approximately 4,500 events</w:t>
      </w:r>
    </w:p>
    <w:p>
      <w:pPr>
        <w:spacing w:after="120"/>
        <w:ind w:left="360"/>
      </w:pPr>
      <w:r>
        <w:rPr>
          <w:rFonts w:ascii="Times New Roman" w:hAnsi="Times New Roman"/>
          <w:b/>
          <w:sz w:val="22"/>
        </w:rPr>
        <w:t xml:space="preserve">Core methodological caution: </w:t>
      </w:r>
      <w:r>
        <w:rPr>
          <w:rFonts w:ascii="Times New Roman" w:hAnsi="Times New Roman"/>
          <w:sz w:val="22"/>
        </w:rPr>
        <w:t>Tract-level rows are useful for mapping, but outage outcomes repeat within county-year cells; final inference should not rely on false tract-level precision.</w:t>
      </w:r>
    </w:p>
    <w:p>
      <w:pPr>
        <w:pStyle w:val="Heading1"/>
        <w:spacing w:after="120"/>
      </w:pPr>
      <w:r>
        <w:rPr>
          <w:rFonts w:ascii="Times New Roman" w:hAnsi="Times New Roman"/>
          <w:sz w:val="22"/>
        </w:rPr>
        <w:t>Part 0: Data Preparation and NYC Filter</w:t>
      </w:r>
    </w:p>
    <w:p>
      <w:pPr>
        <w:spacing w:after="120"/>
      </w:pPr>
      <w:r>
        <w:rPr>
          <w:rFonts w:ascii="Times New Roman" w:hAnsi="Times New Roman"/>
          <w:sz w:val="22"/>
        </w:rPr>
        <w:t>Part 0 prepares the event-level outage/CVI file for analysis. County FIPS and tract FIPS are standardized, outage start times are parsed, years and months are extracted, outage duration is converted to numeric hours, and outage event types are used to create a severe-weather flag. The file is then restricted to the five NYC counties and the 2014-2023 study window.</w:t>
      </w:r>
    </w:p>
    <w:p>
      <w:pPr>
        <w:pStyle w:val="ListBullet"/>
        <w:spacing w:after="120"/>
      </w:pPr>
      <w:r>
        <w:rPr>
          <w:rFonts w:ascii="Times New Roman" w:hAnsi="Times New Roman"/>
          <w:sz w:val="22"/>
        </w:rPr>
        <w:t>Methodology: field cleaning, date parsing, FIPS normalization, NYC filtering, and severe-weather flag construction.</w:t>
      </w:r>
    </w:p>
    <w:p>
      <w:pPr>
        <w:pStyle w:val="ListBullet"/>
        <w:spacing w:after="120"/>
      </w:pPr>
      <w:r>
        <w:rPr>
          <w:rFonts w:ascii="Times New Roman" w:hAnsi="Times New Roman"/>
          <w:sz w:val="22"/>
        </w:rPr>
        <w:t>Purpose: establish a reproducible analysis panel and ensure that all later summaries use the same geography and time window.</w:t>
      </w:r>
    </w:p>
    <w:p>
      <w:pPr>
        <w:pStyle w:val="ListBullet"/>
        <w:spacing w:after="120"/>
      </w:pPr>
      <w:r>
        <w:rPr>
          <w:rFonts w:ascii="Times New Roman" w:hAnsi="Times New Roman"/>
          <w:sz w:val="22"/>
        </w:rPr>
        <w:t>Interpretation role: foundation step only; no substantive inference is made here.</w:t>
      </w:r>
    </w:p>
    <w:p>
      <w:pPr>
        <w:spacing w:after="120"/>
      </w:pPr>
      <w:r>
        <w:rPr>
          <w:rFonts w:ascii="Times New Roman" w:hAnsi="Times New Roman"/>
          <w:b/>
          <w:sz w:val="22"/>
        </w:rPr>
        <w:t xml:space="preserve">Findings: </w:t>
      </w:r>
      <w:r>
        <w:rPr>
          <w:rFonts w:ascii="Times New Roman" w:hAnsi="Times New Roman"/>
          <w:sz w:val="22"/>
        </w:rPr>
        <w:t>The cleaned NYC panel covers five borough counties from 2014 through 2023. Total outage rows are lowest in 2014 (17,171) and highest in 2018 (667,269), with another large year in 2022 (587,220). The severe-weather share is also highest in 2018 (32.3%), while average duration peaks in 2020 at about 7.98 hours.</w:t>
      </w:r>
    </w:p>
    <w:p>
      <w:pPr>
        <w:spacing w:after="120"/>
        <w:ind w:left="360"/>
      </w:pPr>
      <w:r>
        <w:rPr>
          <w:rFonts w:ascii="Times New Roman" w:hAnsi="Times New Roman"/>
          <w:sz w:val="22"/>
        </w:rPr>
        <w:t>This means the dataset is useful for comparing outage burden across boroughs and years, but the high-burden years are not evenly distributed. Later models therefore treat severe-weather exposure and time structure as important context rather than assuming a smooth annual trend.</w:t>
      </w:r>
    </w:p>
    <w:p>
      <w:pPr>
        <w:spacing w:after="120"/>
        <w:ind w:left="0"/>
      </w:pPr>
      <w:r>
        <w:rPr>
          <w:rFonts w:ascii="Times New Roman" w:hAnsi="Times New Roman"/>
          <w:b/>
          <w:sz w:val="22"/>
        </w:rPr>
        <w:t xml:space="preserve">Conclusion: </w:t>
      </w:r>
      <w:r>
        <w:rPr>
          <w:rFonts w:ascii="Times New Roman" w:hAnsi="Times New Roman"/>
          <w:sz w:val="22"/>
        </w:rPr>
        <w:t>The basic panel tells us outage burden is episodic rather than steady. The main story is not simply that outages rise or fall over time; instead, certain years and weather conditions produce much heavier burden, so the analysis needs to focus on shocks, seasonality, and borough differences.</w:t>
      </w:r>
    </w:p>
    <w:p>
      <w:pPr>
        <w:pStyle w:val="Heading1"/>
        <w:spacing w:after="120"/>
      </w:pPr>
      <w:r>
        <w:rPr>
          <w:rFonts w:ascii="Times New Roman" w:hAnsi="Times New Roman"/>
          <w:sz w:val="22"/>
        </w:rPr>
        <w:t>Parts 1-3: Initial Tract-Year and Month Effects</w:t>
      </w:r>
    </w:p>
    <w:p>
      <w:pPr>
        <w:spacing w:after="120"/>
      </w:pPr>
      <w:r>
        <w:rPr>
          <w:rFonts w:ascii="Times New Roman" w:hAnsi="Times New Roman"/>
          <w:sz w:val="22"/>
        </w:rPr>
        <w:t>Parts 1 through 3 explore whether severe weather, year trends, and month effects are related to outage outcomes. These sections use tract-year summaries and year-by-month counts to identify broad patterns before moving to corrected models.</w:t>
      </w:r>
    </w:p>
    <w:p>
      <w:pPr>
        <w:spacing w:after="120"/>
      </w:pPr>
      <w:r>
        <w:rPr>
          <w:rFonts w:ascii="Times New Roman" w:hAnsi="Times New Roman"/>
          <w:b/>
          <w:sz w:val="22"/>
        </w:rPr>
        <w:t>Initial exploratory methods:</w:t>
      </w:r>
    </w:p>
    <w:p>
      <w:pPr>
        <w:spacing w:after="120"/>
        <w:ind w:left="360"/>
      </w:pPr>
      <w:r>
        <w:rPr>
          <w:rFonts w:ascii="Times New Roman" w:hAnsi="Times New Roman"/>
          <w:b/>
          <w:sz w:val="22"/>
        </w:rPr>
        <w:t xml:space="preserve">Part 1: </w:t>
      </w:r>
      <w:r>
        <w:rPr>
          <w:rFonts w:ascii="Times New Roman" w:hAnsi="Times New Roman"/>
          <w:sz w:val="22"/>
        </w:rPr>
        <w:t>Per-tract OLS models of outage occurrence and log duration on severe-weather count, with FDR correction. Final interpretation use: Exploratory screen for weather-outage association.</w:t>
      </w:r>
    </w:p>
    <w:p>
      <w:pPr>
        <w:spacing w:after="120"/>
        <w:ind w:left="360"/>
      </w:pPr>
      <w:r>
        <w:rPr>
          <w:rFonts w:ascii="Times New Roman" w:hAnsi="Times New Roman"/>
          <w:b/>
          <w:sz w:val="22"/>
        </w:rPr>
        <w:t xml:space="preserve">Part 2: </w:t>
      </w:r>
      <w:r>
        <w:rPr>
          <w:rFonts w:ascii="Times New Roman" w:hAnsi="Times New Roman"/>
          <w:sz w:val="22"/>
        </w:rPr>
        <w:t>Per-tract year-trend OLS, Kendall tau, and Theil-Sen slope checks. Final interpretation use: Describes temporal patterns but is not final causal evidence.</w:t>
      </w:r>
    </w:p>
    <w:p>
      <w:pPr>
        <w:spacing w:after="120"/>
        <w:ind w:left="360"/>
      </w:pPr>
      <w:r>
        <w:rPr>
          <w:rFonts w:ascii="Times New Roman" w:hAnsi="Times New Roman"/>
          <w:b/>
          <w:sz w:val="22"/>
        </w:rPr>
        <w:t xml:space="preserve">Part 3: </w:t>
      </w:r>
      <w:r>
        <w:rPr>
          <w:rFonts w:ascii="Times New Roman" w:hAnsi="Times New Roman"/>
          <w:sz w:val="22"/>
        </w:rPr>
        <w:t>Year-by-month chi-square tests and FDR-adjusted residual checks. Final interpretation use: Identifies seasonality and motivates month controls in later models.</w:t>
      </w:r>
    </w:p>
    <w:p>
      <w:pPr>
        <w:spacing w:after="120"/>
      </w:pPr>
      <w:r>
        <w:rPr>
          <w:rFonts w:ascii="Times New Roman" w:hAnsi="Times New Roman"/>
          <w:sz w:val="22"/>
        </w:rPr>
        <w:t>These early analyses are useful for pattern discovery, but they are not the strongest evidence because tract-level observations do not represent fully independent outage outcomes.</w:t>
      </w:r>
    </w:p>
    <w:p>
      <w:pPr>
        <w:spacing w:after="120"/>
      </w:pPr>
      <w:r>
        <w:rPr>
          <w:rFonts w:ascii="Times New Roman" w:hAnsi="Times New Roman"/>
          <w:b/>
          <w:sz w:val="22"/>
        </w:rPr>
        <w:t xml:space="preserve">Findings: </w:t>
      </w:r>
      <w:r>
        <w:rPr>
          <w:rFonts w:ascii="Times New Roman" w:hAnsi="Times New Roman"/>
          <w:sz w:val="22"/>
        </w:rPr>
        <w:t>The first severe-weather screen shows a broad positive relationship between severe weather and outage occurrence: 1,769 of 2,168 tracts are significant at FDR 0.05 in the initial OLS screen, and all significant slopes are positive. The median severe-weather coefficient is about 2.32.</w:t>
      </w:r>
    </w:p>
    <w:p>
      <w:pPr>
        <w:spacing w:after="120"/>
        <w:ind w:left="360"/>
      </w:pPr>
      <w:r>
        <w:rPr>
          <w:rFonts w:ascii="Times New Roman" w:hAnsi="Times New Roman"/>
          <w:sz w:val="22"/>
        </w:rPr>
        <w:t>After switching to the more robust Spearman version, the occurrence result remains visible but weaker: 1,008 of 2,168 tracts are significant at FDR 0.05 and 669 are significant at FDR 0.01, with median rho about 0.69. Duration does not show the same robust tract-level relationship.</w:t>
      </w:r>
    </w:p>
    <w:p>
      <w:pPr>
        <w:spacing w:after="120"/>
        <w:ind w:left="360"/>
      </w:pPr>
      <w:r>
        <w:rPr>
          <w:rFonts w:ascii="Times New Roman" w:hAnsi="Times New Roman"/>
          <w:sz w:val="22"/>
        </w:rPr>
        <w:t>The annual trend screen does not support a clean 2014-2023 time trend after FDR correction. Raw occurrence slopes are often positive, but no tract-level occurrence or duration trend survives the multiple-testing adjustment.</w:t>
      </w:r>
    </w:p>
    <w:p>
      <w:pPr>
        <w:spacing w:after="120"/>
        <w:ind w:left="360"/>
      </w:pPr>
      <w:r>
        <w:rPr>
          <w:rFonts w:ascii="Times New Roman" w:hAnsi="Times New Roman"/>
          <w:sz w:val="22"/>
        </w:rPr>
        <w:t>Month effects are much clearer than linear year trends. Every year has a significant month effect, with high-outage months shifting across years; July appears as the top month in three years, and March appears in two years.</w:t>
      </w:r>
    </w:p>
    <w:p>
      <w:pPr>
        <w:spacing w:after="120"/>
        <w:ind w:left="0"/>
      </w:pPr>
      <w:r>
        <w:rPr>
          <w:rFonts w:ascii="Times New Roman" w:hAnsi="Times New Roman"/>
          <w:b/>
          <w:sz w:val="22"/>
        </w:rPr>
        <w:t xml:space="preserve">Conclusion: </w:t>
      </w:r>
      <w:r>
        <w:rPr>
          <w:rFonts w:ascii="Times New Roman" w:hAnsi="Times New Roman"/>
          <w:sz w:val="22"/>
        </w:rPr>
        <w:t>The early tests point to severe weather and month timing as stronger explanations than a simple long-term trend. This supports framing the outage problem as one of recurring seasonal and weather-driven risk, not as a smooth year-by-year deterioration or improvement from 2014 to 2023.</w:t>
      </w:r>
    </w:p>
    <w:p>
      <w:pPr>
        <w:pStyle w:val="Heading1"/>
        <w:spacing w:after="120"/>
      </w:pPr>
      <w:r>
        <w:rPr>
          <w:rFonts w:ascii="Times New Roman" w:hAnsi="Times New Roman"/>
          <w:sz w:val="22"/>
        </w:rPr>
        <w:t>Parts 4-6: Visualization, Correlation, and Seasonality Clustering</w:t>
      </w:r>
    </w:p>
    <w:p>
      <w:pPr>
        <w:spacing w:after="120"/>
      </w:pPr>
      <w:r>
        <w:rPr>
          <w:rFonts w:ascii="Times New Roman" w:hAnsi="Times New Roman"/>
          <w:sz w:val="22"/>
        </w:rPr>
        <w:t>Parts 4 through 6 summarize spatial and seasonal structure. Visualizations show annual totals and monthly heat maps. Spearman correlations are used because outage counts and duration are skewed. K-means clustering is applied to monthly outage-share profiles to summarize seasonality patterns.</w:t>
      </w:r>
    </w:p>
    <w:p>
      <w:pPr>
        <w:pStyle w:val="ListBullet"/>
        <w:spacing w:after="120"/>
      </w:pPr>
      <w:r>
        <w:rPr>
          <w:rFonts w:ascii="Times New Roman" w:hAnsi="Times New Roman"/>
          <w:sz w:val="22"/>
        </w:rPr>
        <w:t>Methodology: descriptive visualization, nonparametric correlation, and clustering of monthly outage-share profiles.</w:t>
      </w:r>
    </w:p>
    <w:p>
      <w:pPr>
        <w:pStyle w:val="ListBullet"/>
        <w:spacing w:after="120"/>
      </w:pPr>
      <w:r>
        <w:rPr>
          <w:rFonts w:ascii="Times New Roman" w:hAnsi="Times New Roman"/>
          <w:sz w:val="22"/>
        </w:rPr>
        <w:t>Main role: communicate patterns and diagnose structure before modeling.</w:t>
      </w:r>
    </w:p>
    <w:p>
      <w:pPr>
        <w:pStyle w:val="ListBullet"/>
        <w:spacing w:after="120"/>
      </w:pPr>
      <w:r>
        <w:rPr>
          <w:rFonts w:ascii="Times New Roman" w:hAnsi="Times New Roman"/>
          <w:sz w:val="22"/>
        </w:rPr>
        <w:t>Important caveat: the clustering reflects county-level seasonality more than true tract-level heterogeneity because many tract profiles duplicate county patterns.</w:t>
      </w:r>
    </w:p>
    <w:p>
      <w:pPr>
        <w:spacing w:after="120"/>
      </w:pPr>
      <w:r>
        <w:rPr>
          <w:rFonts w:ascii="Times New Roman" w:hAnsi="Times New Roman"/>
          <w:b/>
          <w:sz w:val="22"/>
        </w:rPr>
        <w:t xml:space="preserve">Findings: </w:t>
      </w:r>
      <w:r>
        <w:rPr>
          <w:rFonts w:ascii="Times New Roman" w:hAnsi="Times New Roman"/>
          <w:sz w:val="22"/>
        </w:rPr>
        <w:t>The corrected significance summary supports severe weather and seasonality as the two strongest descriptive patterns. Severe weather versus occurrence is significant for 1,008 tracts at FDR 0.05 and 669 at FDR 0.01, while severe weather versus duration is significant for zero tracts.</w:t>
      </w:r>
    </w:p>
    <w:p>
      <w:pPr>
        <w:spacing w:after="120"/>
        <w:ind w:left="360"/>
      </w:pPr>
      <w:r>
        <w:rPr>
          <w:rFonts w:ascii="Times New Roman" w:hAnsi="Times New Roman"/>
          <w:sz w:val="22"/>
        </w:rPr>
        <w:t>Monthly trend testing finds no month with a significant occurrence trend after FDR correction. January is the only month with a significant negative duration trend, so the notebook should not claim broad month-specific improvement or deterioration over time.</w:t>
      </w:r>
    </w:p>
    <w:p>
      <w:pPr>
        <w:spacing w:after="120"/>
        <w:ind w:left="360"/>
      </w:pPr>
      <w:r>
        <w:rPr>
          <w:rFonts w:ascii="Times New Roman" w:hAnsi="Times New Roman"/>
          <w:sz w:val="22"/>
        </w:rPr>
        <w:t>The seasonality clustering produces four groups with sizes 111, 1,008, 288, and 761 tracts. Their top months differ, but later diagnostics show that these clusters mostly reflect county-level seasonal profiles rather than independent tract-level behavioral types.</w:t>
      </w:r>
    </w:p>
    <w:p>
      <w:pPr>
        <w:spacing w:after="120"/>
        <w:ind w:left="0"/>
      </w:pPr>
      <w:r>
        <w:rPr>
          <w:rFonts w:ascii="Times New Roman" w:hAnsi="Times New Roman"/>
          <w:b/>
          <w:sz w:val="22"/>
        </w:rPr>
        <w:t xml:space="preserve">Conclusion: </w:t>
      </w:r>
      <w:r>
        <w:rPr>
          <w:rFonts w:ascii="Times New Roman" w:hAnsi="Times New Roman"/>
          <w:sz w:val="22"/>
        </w:rPr>
        <w:t>These results show that the strongest descriptive pattern is timing: outage occurrence changes sharply by month and severe-weather context. However, because the clusters largely follow county patterns, they should be used to describe borough-level seasonality rather than to claim that individual tracts have truly distinct outage behavior.</w:t>
      </w:r>
    </w:p>
    <w:p>
      <w:pPr>
        <w:pStyle w:val="Heading1"/>
        <w:spacing w:after="120"/>
      </w:pPr>
      <w:r>
        <w:rPr>
          <w:rFonts w:ascii="Times New Roman" w:hAnsi="Times New Roman"/>
          <w:sz w:val="22"/>
        </w:rPr>
        <w:t>Part 7: CVI Variables and Exploratory Regressions</w:t>
      </w:r>
    </w:p>
    <w:p>
      <w:pPr>
        <w:spacing w:after="120"/>
      </w:pPr>
      <w:r>
        <w:rPr>
          <w:rFonts w:ascii="Times New Roman" w:hAnsi="Times New Roman"/>
          <w:sz w:val="22"/>
        </w:rPr>
        <w:t>Part 7 adds CVI measures to the outage panel. The candidate variables include overall CVI, baseline social-economic CVI, baseline infrastructure CVI, and climate/extreme-events CVI. Exploratory tract-year regressions are used to understand possible vulnerability relationships.</w:t>
      </w:r>
    </w:p>
    <w:p>
      <w:pPr>
        <w:pStyle w:val="ListBullet"/>
        <w:spacing w:after="120"/>
      </w:pPr>
      <w:r>
        <w:rPr>
          <w:rFonts w:ascii="Times New Roman" w:hAnsi="Times New Roman"/>
          <w:sz w:val="22"/>
        </w:rPr>
        <w:t>Methodology: merge tract-level CVI features, construct tract-year outcomes, and fit exploratory regression models.</w:t>
      </w:r>
    </w:p>
    <w:p>
      <w:pPr>
        <w:pStyle w:val="ListBullet"/>
        <w:spacing w:after="120"/>
      </w:pPr>
      <w:r>
        <w:rPr>
          <w:rFonts w:ascii="Times New Roman" w:hAnsi="Times New Roman"/>
          <w:sz w:val="22"/>
        </w:rPr>
        <w:t>Key caution: CVI variables are correlated with one another, so models with many CVI predictors can produce unstable coefficients.</w:t>
      </w:r>
    </w:p>
    <w:p>
      <w:pPr>
        <w:pStyle w:val="ListBullet"/>
        <w:spacing w:after="120"/>
      </w:pPr>
      <w:r>
        <w:rPr>
          <w:rFonts w:ascii="Times New Roman" w:hAnsi="Times New Roman"/>
          <w:sz w:val="22"/>
        </w:rPr>
        <w:t>Interpretation role: hypothesis generation rather than final evidence.</w:t>
      </w:r>
    </w:p>
    <w:p>
      <w:pPr>
        <w:spacing w:after="120"/>
      </w:pPr>
      <w:r>
        <w:rPr>
          <w:rFonts w:ascii="Times New Roman" w:hAnsi="Times New Roman"/>
          <w:b/>
          <w:sz w:val="22"/>
        </w:rPr>
        <w:t xml:space="preserve">Findings: </w:t>
      </w:r>
      <w:r>
        <w:rPr>
          <w:rFonts w:ascii="Times New Roman" w:hAnsi="Times New Roman"/>
          <w:sz w:val="22"/>
        </w:rPr>
        <w:t>The exploratory CVI regressions suggest that social and economic vulnerability is more relevant to outage burden than several other CVI dimensions. However, the CVI variables are correlated, so this section is best read as a variable-screening step rather than final evidence.</w:t>
      </w:r>
    </w:p>
    <w:p>
      <w:pPr>
        <w:spacing w:after="120"/>
        <w:ind w:left="360"/>
      </w:pPr>
      <w:r>
        <w:rPr>
          <w:rFonts w:ascii="Times New Roman" w:hAnsi="Times New Roman"/>
          <w:sz w:val="22"/>
        </w:rPr>
        <w:t>In the cleaner county-year frequency setup, overall CVI is positively associated with outage frequency in OLS (coef. 0.426, p = 0.016), and the social-economic CVI component is also positive (coef. 0.444, p = 0.008). The high-vulnerability share is not significant in OLS.</w:t>
      </w:r>
    </w:p>
    <w:p>
      <w:pPr>
        <w:spacing w:after="120"/>
        <w:ind w:left="0"/>
      </w:pPr>
      <w:r>
        <w:rPr>
          <w:rFonts w:ascii="Times New Roman" w:hAnsi="Times New Roman"/>
          <w:b/>
          <w:sz w:val="22"/>
        </w:rPr>
        <w:t xml:space="preserve">Conclusion: </w:t>
      </w:r>
      <w:r>
        <w:rPr>
          <w:rFonts w:ascii="Times New Roman" w:hAnsi="Times New Roman"/>
          <w:sz w:val="22"/>
        </w:rPr>
        <w:t>The CVI results suggest an equity-relevant pattern: places with higher social-economic vulnerability tend to face higher outage frequency. Because this is still an exploratory and correlated-variable setting, the conclusion should be cautious: social vulnerability appears connected to outage burden, but this section alone does not prove causality.</w:t>
      </w:r>
    </w:p>
    <w:p>
      <w:pPr>
        <w:pStyle w:val="Heading1"/>
        <w:spacing w:after="120"/>
      </w:pPr>
      <w:r>
        <w:rPr>
          <w:rFonts w:ascii="Times New Roman" w:hAnsi="Times New Roman"/>
          <w:sz w:val="22"/>
        </w:rPr>
        <w:t>Part 8: Data Structure Correction</w:t>
      </w:r>
    </w:p>
    <w:p>
      <w:pPr>
        <w:spacing w:after="120"/>
      </w:pPr>
      <w:r>
        <w:rPr>
          <w:rFonts w:ascii="Times New Roman" w:hAnsi="Times New Roman"/>
          <w:sz w:val="22"/>
        </w:rPr>
        <w:t>Part 8 is the methodological turning point. It shows that outage occurrence, mean duration, and severe-weather count are often identical for tracts within the same county-year. This means tract-level regressions create a misleading sense of precision. The corrected analysis therefore collapses the data to county-year and county-month panels for the main frequency models.</w:t>
      </w:r>
    </w:p>
    <w:p>
      <w:pPr>
        <w:pStyle w:val="ListBullet"/>
        <w:spacing w:after="120"/>
      </w:pPr>
      <w:r>
        <w:rPr>
          <w:rFonts w:ascii="Times New Roman" w:hAnsi="Times New Roman"/>
          <w:sz w:val="22"/>
        </w:rPr>
        <w:t>Methodology: county-year consistency checks, county-year collapse, OLS/Poisson diagnostics, and VIF checks.</w:t>
      </w:r>
    </w:p>
    <w:p>
      <w:pPr>
        <w:pStyle w:val="ListBullet"/>
        <w:spacing w:after="120"/>
      </w:pPr>
      <w:r>
        <w:rPr>
          <w:rFonts w:ascii="Times New Roman" w:hAnsi="Times New Roman"/>
          <w:sz w:val="22"/>
        </w:rPr>
        <w:t>Reason for correction: repeated tract rows do not add independent outage information.</w:t>
      </w:r>
    </w:p>
    <w:p>
      <w:pPr>
        <w:pStyle w:val="ListBullet"/>
        <w:spacing w:after="120"/>
      </w:pPr>
      <w:r>
        <w:rPr>
          <w:rFonts w:ascii="Times New Roman" w:hAnsi="Times New Roman"/>
          <w:sz w:val="22"/>
        </w:rPr>
        <w:t>Final implication: tract-level results should be used for maps and screening; county-month and event-level models should carry the main interpretation.</w:t>
      </w:r>
    </w:p>
    <w:p>
      <w:pPr>
        <w:spacing w:after="120"/>
      </w:pPr>
      <w:r>
        <w:rPr>
          <w:rFonts w:ascii="Times New Roman" w:hAnsi="Times New Roman"/>
          <w:b/>
          <w:sz w:val="22"/>
        </w:rPr>
        <w:t xml:space="preserve">Findings: </w:t>
      </w:r>
      <w:r>
        <w:rPr>
          <w:rFonts w:ascii="Times New Roman" w:hAnsi="Times New Roman"/>
          <w:sz w:val="22"/>
        </w:rPr>
        <w:t>The data-structure check confirms why the original tract-level interpretation needed correction: within each county-year, outage occurrence, duration, and severe-weather indicators are repeated consistently across tracts. In the 47 county-year rows checked, the unique-value consistency rate is 100% for occurrence, duration, and severe-weather variables.</w:t>
      </w:r>
    </w:p>
    <w:p>
      <w:pPr>
        <w:spacing w:after="120"/>
        <w:ind w:left="360"/>
      </w:pPr>
      <w:r>
        <w:rPr>
          <w:rFonts w:ascii="Times New Roman" w:hAnsi="Times New Roman"/>
          <w:sz w:val="22"/>
        </w:rPr>
        <w:t>This finding changes the most defensible unit of inference. Tract maps and CVI joins remain useful for description, but final frequency models should be interpreted at the county-year or county-month level.</w:t>
      </w:r>
    </w:p>
    <w:p>
      <w:pPr>
        <w:spacing w:after="120"/>
        <w:ind w:left="0"/>
      </w:pPr>
      <w:r>
        <w:rPr>
          <w:rFonts w:ascii="Times New Roman" w:hAnsi="Times New Roman"/>
          <w:b/>
          <w:sz w:val="22"/>
        </w:rPr>
        <w:t xml:space="preserve">Conclusion: </w:t>
      </w:r>
      <w:r>
        <w:rPr>
          <w:rFonts w:ascii="Times New Roman" w:hAnsi="Times New Roman"/>
          <w:sz w:val="22"/>
        </w:rPr>
        <w:t>The repeated county-year outcomes mean tract-level models overstate the amount of independent information in the data. The smarter conclusion is that tract-level CVI helps describe who lives in more vulnerable places, while county-year or county-month models are the more credible basis for final outage-frequency inference.</w:t>
      </w:r>
    </w:p>
    <w:p>
      <w:pPr>
        <w:pStyle w:val="Heading1"/>
        <w:spacing w:after="120"/>
      </w:pPr>
      <w:r>
        <w:rPr>
          <w:rFonts w:ascii="Times New Roman" w:hAnsi="Times New Roman"/>
          <w:sz w:val="22"/>
        </w:rPr>
        <w:t>Part 8b and Part 9: Corrected Frequency Models</w:t>
      </w:r>
    </w:p>
    <w:p>
      <w:pPr>
        <w:spacing w:after="120"/>
      </w:pPr>
      <w:r>
        <w:rPr>
          <w:rFonts w:ascii="Times New Roman" w:hAnsi="Times New Roman"/>
          <w:sz w:val="22"/>
        </w:rPr>
        <w:t>The corrected frequency analysis uses count models and county-month models. Poisson diagnostics show substantial overdispersion, so Negative Binomial models are preferred for outage counts. Part 9 then estimates one main CVI concept at a time in a county-month framework with time, severe-weather, and month controls.</w:t>
      </w:r>
    </w:p>
    <w:p>
      <w:pPr>
        <w:spacing w:after="120"/>
      </w:pPr>
      <w:r>
        <w:rPr>
          <w:rFonts w:ascii="Times New Roman" w:hAnsi="Times New Roman"/>
          <w:b/>
          <w:sz w:val="22"/>
        </w:rPr>
        <w:t>Corrected frequency model components:</w:t>
      </w:r>
    </w:p>
    <w:p>
      <w:pPr>
        <w:spacing w:after="120"/>
        <w:ind w:left="360"/>
      </w:pPr>
      <w:r>
        <w:rPr>
          <w:rFonts w:ascii="Times New Roman" w:hAnsi="Times New Roman"/>
          <w:b/>
          <w:sz w:val="22"/>
        </w:rPr>
        <w:t xml:space="preserve">Overdispersion check: </w:t>
      </w:r>
      <w:r>
        <w:rPr>
          <w:rFonts w:ascii="Times New Roman" w:hAnsi="Times New Roman"/>
          <w:sz w:val="22"/>
        </w:rPr>
        <w:t>Compare Poisson assumptions against observed count variance. Interpretation: Poisson is too restrictive when overdispersion is high.</w:t>
      </w:r>
    </w:p>
    <w:p>
      <w:pPr>
        <w:spacing w:after="120"/>
        <w:ind w:left="360"/>
      </w:pPr>
      <w:r>
        <w:rPr>
          <w:rFonts w:ascii="Times New Roman" w:hAnsi="Times New Roman"/>
          <w:b/>
          <w:sz w:val="22"/>
        </w:rPr>
        <w:t xml:space="preserve">Negative Binomial: </w:t>
      </w:r>
      <w:r>
        <w:rPr>
          <w:rFonts w:ascii="Times New Roman" w:hAnsi="Times New Roman"/>
          <w:sz w:val="22"/>
        </w:rPr>
        <w:t>Use an overdispersed count model for outage frequency. Interpretation: Preferred count-model family for frequency.</w:t>
      </w:r>
    </w:p>
    <w:p>
      <w:pPr>
        <w:spacing w:after="120"/>
        <w:ind w:left="360"/>
      </w:pPr>
      <w:r>
        <w:rPr>
          <w:rFonts w:ascii="Times New Roman" w:hAnsi="Times New Roman"/>
          <w:b/>
          <w:sz w:val="22"/>
        </w:rPr>
        <w:t xml:space="preserve">County-month panel: </w:t>
      </w:r>
      <w:r>
        <w:rPr>
          <w:rFonts w:ascii="Times New Roman" w:hAnsi="Times New Roman"/>
          <w:sz w:val="22"/>
        </w:rPr>
        <w:t>Five counties x ten years x twelve months, producing 600 observations. Interpretation: Main frequency model because it accounts for seasonality and avoids tract-level pseudo-replication.</w:t>
      </w:r>
    </w:p>
    <w:p>
      <w:pPr>
        <w:spacing w:after="120"/>
        <w:ind w:left="360"/>
      </w:pPr>
      <w:r>
        <w:rPr>
          <w:rFonts w:ascii="Times New Roman" w:hAnsi="Times New Roman"/>
          <w:b/>
          <w:sz w:val="22"/>
        </w:rPr>
        <w:t xml:space="preserve">One-CVI-at-a-time models: </w:t>
      </w:r>
      <w:r>
        <w:rPr>
          <w:rFonts w:ascii="Times New Roman" w:hAnsi="Times New Roman"/>
          <w:sz w:val="22"/>
        </w:rPr>
        <w:t>Estimate separate models for overall, social-economic, climate, and high-vulnerability-share concepts. Interpretation: Improves interpretability and reduces multicollinearity problems.</w:t>
      </w:r>
    </w:p>
    <w:p>
      <w:pPr>
        <w:spacing w:after="120"/>
      </w:pPr>
      <w:r>
        <w:rPr>
          <w:rFonts w:ascii="Times New Roman" w:hAnsi="Times New Roman"/>
          <w:sz w:val="22"/>
        </w:rPr>
        <w:t>The clearest vulnerability signal appears for social-economic CVI. In the county-month Poisson specification, a one-standard-deviation increase in social-economic CVI is associated with an incidence rate ratio of approximately 1.20, or about 20 percent higher monthly outage counts, conditional on the model controls.</w:t>
      </w:r>
    </w:p>
    <w:p>
      <w:pPr>
        <w:spacing w:after="120"/>
      </w:pPr>
      <w:r>
        <w:rPr>
          <w:rFonts w:ascii="Times New Roman" w:hAnsi="Times New Roman"/>
          <w:b/>
          <w:sz w:val="22"/>
        </w:rPr>
        <w:t xml:space="preserve">Findings: </w:t>
      </w:r>
      <w:r>
        <w:rPr>
          <w:rFonts w:ascii="Times New Roman" w:hAnsi="Times New Roman"/>
          <w:sz w:val="22"/>
        </w:rPr>
        <w:t>The count-model diagnostics support Negative Binomial models over simple Poisson models. The county-year Poisson model has strong overdispersion, with dispersion about 41.7 and AIC about 2,297, while the comparable Negative Binomial model has much lower AIC, about 551.</w:t>
      </w:r>
    </w:p>
    <w:p>
      <w:pPr>
        <w:spacing w:after="120"/>
        <w:ind w:left="360"/>
      </w:pPr>
      <w:r>
        <w:rPr>
          <w:rFonts w:ascii="Times New Roman" w:hAnsi="Times New Roman"/>
          <w:sz w:val="22"/>
        </w:rPr>
        <w:t>At the county-month level, adding month effects improves the Negative Binomial model: AIC decreases from about 3,277 to 3,227, and the likelihood-ratio test for month effects is highly significant (p about 5.44e-11). The county-month panel contains 600 cells, including 126 zero-outage cells.</w:t>
      </w:r>
    </w:p>
    <w:p>
      <w:pPr>
        <w:spacing w:after="120"/>
        <w:ind w:left="360"/>
      </w:pPr>
      <w:r>
        <w:rPr>
          <w:rFonts w:ascii="Times New Roman" w:hAnsi="Times New Roman"/>
          <w:sz w:val="22"/>
        </w:rPr>
        <w:t>In the CVI frequency models, social-economic CVI is the clearest positive vulnerability signal. The Poisson incidence-rate ratio is about 1.18 for social-economic CVI, while severe-weather exposure remains a positive predictor in the cleaner models.</w:t>
      </w:r>
    </w:p>
    <w:p>
      <w:pPr>
        <w:spacing w:after="120"/>
        <w:ind w:left="0"/>
      </w:pPr>
      <w:r>
        <w:rPr>
          <w:rFonts w:ascii="Times New Roman" w:hAnsi="Times New Roman"/>
          <w:b/>
          <w:sz w:val="22"/>
        </w:rPr>
        <w:t xml:space="preserve">Conclusion: </w:t>
      </w:r>
      <w:r>
        <w:rPr>
          <w:rFonts w:ascii="Times New Roman" w:hAnsi="Times New Roman"/>
          <w:sz w:val="22"/>
        </w:rPr>
        <w:t>The corrected count models strengthen the main frequency conclusion: outage counts are overdispersed, seasonal, and better handled with Negative Binomial models. Within that corrected setup, social-economic vulnerability remains the most consistent CVI signal, meaning the equity pattern is not only an artifact of the first exploratory regressions.</w:t>
      </w:r>
    </w:p>
    <w:p>
      <w:pPr>
        <w:pStyle w:val="Heading1"/>
        <w:spacing w:after="120"/>
      </w:pPr>
      <w:r>
        <w:rPr>
          <w:rFonts w:ascii="Times New Roman" w:hAnsi="Times New Roman"/>
          <w:sz w:val="22"/>
        </w:rPr>
        <w:t>Part 9b: Theory-Driven CVI Selection and Ridge Sensitivity</w:t>
      </w:r>
    </w:p>
    <w:p>
      <w:pPr>
        <w:spacing w:after="120"/>
      </w:pPr>
      <w:r>
        <w:rPr>
          <w:rFonts w:ascii="Times New Roman" w:hAnsi="Times New Roman"/>
          <w:sz w:val="22"/>
        </w:rPr>
        <w:t>Part 9b narrows the vulnerability question to theoretically motivated predictors, including social-economic CVI, infrastructure CVI, and severe-weather count. OLS and Ridge models are compared to assess whether coefficient signs remain stable when predictors are correlated.</w:t>
      </w:r>
    </w:p>
    <w:p>
      <w:pPr>
        <w:pStyle w:val="ListBullet"/>
        <w:spacing w:after="120"/>
      </w:pPr>
      <w:r>
        <w:rPr>
          <w:rFonts w:ascii="Times New Roman" w:hAnsi="Times New Roman"/>
          <w:sz w:val="22"/>
        </w:rPr>
        <w:t>Methodology: compare OLS estimates with Ridge sensitivity models.</w:t>
      </w:r>
    </w:p>
    <w:p>
      <w:pPr>
        <w:pStyle w:val="ListBullet"/>
        <w:spacing w:after="120"/>
      </w:pPr>
      <w:r>
        <w:rPr>
          <w:rFonts w:ascii="Times New Roman" w:hAnsi="Times New Roman"/>
          <w:sz w:val="22"/>
        </w:rPr>
        <w:t>Use of Ridge: directional robustness check, not the primary explanatory model.</w:t>
      </w:r>
    </w:p>
    <w:p>
      <w:pPr>
        <w:pStyle w:val="ListBullet"/>
        <w:spacing w:after="120"/>
      </w:pPr>
      <w:r>
        <w:rPr>
          <w:rFonts w:ascii="Times New Roman" w:hAnsi="Times New Roman"/>
          <w:sz w:val="22"/>
        </w:rPr>
        <w:t>Interpretation: infrastructure CVI is positive but imprecise; social-economic CVI is directionally consistent but still sensitive to small county-level sample size.</w:t>
      </w:r>
    </w:p>
    <w:p>
      <w:pPr>
        <w:spacing w:after="120"/>
      </w:pPr>
      <w:r>
        <w:rPr>
          <w:rFonts w:ascii="Times New Roman" w:hAnsi="Times New Roman"/>
          <w:b/>
          <w:sz w:val="22"/>
        </w:rPr>
        <w:t xml:space="preserve">Findings: </w:t>
      </w:r>
      <w:r>
        <w:rPr>
          <w:rFonts w:ascii="Times New Roman" w:hAnsi="Times New Roman"/>
          <w:sz w:val="22"/>
        </w:rPr>
        <w:t>The theory-driven sensitivity check keeps the social-economic and infrastructure CVI components together with severe-weather exposure. In this more conservative setup, social-economic CVI remains positive in both OLS and Ridge, but its confidence interval crosses zero.</w:t>
      </w:r>
    </w:p>
    <w:p>
      <w:pPr>
        <w:spacing w:after="120"/>
        <w:ind w:left="360"/>
      </w:pPr>
      <w:r>
        <w:rPr>
          <w:rFonts w:ascii="Times New Roman" w:hAnsi="Times New Roman"/>
          <w:sz w:val="22"/>
        </w:rPr>
        <w:t>Infrastructure CVI is also positive but uncertain. Severe-weather exposure is the most stable predictor: OLS coefficient about 0.389 with 95% CI 0.137 to 0.641, and Ridge coefficient about 0.385 with interval 0.208 to 0.763.</w:t>
      </w:r>
    </w:p>
    <w:p>
      <w:pPr>
        <w:spacing w:after="120"/>
        <w:ind w:left="360"/>
      </w:pPr>
      <w:r>
        <w:rPr>
          <w:rFonts w:ascii="Times New Roman" w:hAnsi="Times New Roman"/>
          <w:sz w:val="22"/>
        </w:rPr>
        <w:t>The VIF values for social-economic and infrastructure CVI are about 4.85 and 4.81, confirming moderate collinearity. This is why the report should describe CVI results as suggestive and model-sensitive, while treating severe weather as the most robust signal.</w:t>
      </w:r>
    </w:p>
    <w:p>
      <w:pPr>
        <w:spacing w:after="120"/>
        <w:ind w:left="0"/>
      </w:pPr>
      <w:r>
        <w:rPr>
          <w:rFonts w:ascii="Times New Roman" w:hAnsi="Times New Roman"/>
          <w:b/>
          <w:sz w:val="22"/>
        </w:rPr>
        <w:t xml:space="preserve">Conclusion: </w:t>
      </w:r>
      <w:r>
        <w:rPr>
          <w:rFonts w:ascii="Times New Roman" w:hAnsi="Times New Roman"/>
          <w:sz w:val="22"/>
        </w:rPr>
        <w:t>The sensitivity check narrows the claim. Severe weather is clearly robust, while social-economic and infrastructure vulnerability are directionally meaningful but statistically less secure. This supports a balanced conclusion: weather is the primary operational driver, and vulnerability helps identify which communities may be more exposed to repeated burden.</w:t>
      </w:r>
    </w:p>
    <w:p>
      <w:pPr>
        <w:pStyle w:val="Heading1"/>
        <w:spacing w:after="120"/>
      </w:pPr>
      <w:r>
        <w:rPr>
          <w:rFonts w:ascii="Times New Roman" w:hAnsi="Times New Roman"/>
          <w:sz w:val="22"/>
        </w:rPr>
        <w:t>Part 10 and Part 10b: Duration and Resilience Models</w:t>
      </w:r>
    </w:p>
    <w:p>
      <w:pPr>
        <w:spacing w:after="120"/>
      </w:pPr>
      <w:r>
        <w:rPr>
          <w:rFonts w:ascii="Times New Roman" w:hAnsi="Times New Roman"/>
          <w:sz w:val="22"/>
        </w:rPr>
        <w:t>Parts 10 and 10b separate outage frequency from outage resilience. Frequency asks whether outages occur more often. Duration asks whether outages last longer once they occur. This distinction matters because high-burden communities may be affected through restoration time rather than event count alone.</w:t>
      </w:r>
    </w:p>
    <w:p>
      <w:pPr>
        <w:spacing w:after="120"/>
      </w:pPr>
      <w:r>
        <w:rPr>
          <w:rFonts w:ascii="Times New Roman" w:hAnsi="Times New Roman"/>
          <w:b/>
          <w:sz w:val="22"/>
        </w:rPr>
        <w:t>Duration and resilience outcome families:</w:t>
      </w:r>
    </w:p>
    <w:p>
      <w:pPr>
        <w:spacing w:after="120"/>
        <w:ind w:left="360"/>
      </w:pPr>
      <w:r>
        <w:rPr>
          <w:rFonts w:ascii="Times New Roman" w:hAnsi="Times New Roman"/>
          <w:b/>
          <w:sz w:val="22"/>
        </w:rPr>
        <w:t xml:space="preserve">County-year duration: </w:t>
      </w:r>
      <w:r>
        <w:rPr>
          <w:rFonts w:ascii="Times New Roman" w:hAnsi="Times New Roman"/>
          <w:sz w:val="22"/>
        </w:rPr>
        <w:t>Median duration, p90 duration, share above 8 hours, and share above 24 hours. Main interpretation: Useful but limited by small county-year sample.</w:t>
      </w:r>
    </w:p>
    <w:p>
      <w:pPr>
        <w:spacing w:after="120"/>
        <w:ind w:left="360"/>
      </w:pPr>
      <w:r>
        <w:rPr>
          <w:rFonts w:ascii="Times New Roman" w:hAnsi="Times New Roman"/>
          <w:b/>
          <w:sz w:val="22"/>
        </w:rPr>
        <w:t xml:space="preserve">Event-level log duration: </w:t>
      </w:r>
      <w:r>
        <w:rPr>
          <w:rFonts w:ascii="Times New Roman" w:hAnsi="Times New Roman"/>
          <w:sz w:val="22"/>
        </w:rPr>
        <w:t>OLS and clustered/sensitivity specifications on deduplicated outage events. Main interpretation: Stronger duration evidence because the event is the unit of analysis.</w:t>
      </w:r>
    </w:p>
    <w:p>
      <w:pPr>
        <w:spacing w:after="120"/>
        <w:ind w:left="360"/>
      </w:pPr>
      <w:r>
        <w:rPr>
          <w:rFonts w:ascii="Times New Roman" w:hAnsi="Times New Roman"/>
          <w:b/>
          <w:sz w:val="22"/>
        </w:rPr>
        <w:t xml:space="preserve">Severe outage probability: </w:t>
      </w:r>
      <w:r>
        <w:rPr>
          <w:rFonts w:ascii="Times New Roman" w:hAnsi="Times New Roman"/>
          <w:sz w:val="22"/>
        </w:rPr>
        <w:t>Logistic or GEE-style binary models for long/severe outage outcomes. Main interpretation: Appropriate for binary severe-outage indicators.</w:t>
      </w:r>
    </w:p>
    <w:p>
      <w:pPr>
        <w:spacing w:after="120"/>
        <w:ind w:left="360"/>
      </w:pPr>
      <w:r>
        <w:rPr>
          <w:rFonts w:ascii="Times New Roman" w:hAnsi="Times New Roman"/>
          <w:b/>
          <w:sz w:val="22"/>
        </w:rPr>
        <w:t xml:space="preserve">Customer-hours: </w:t>
      </w:r>
      <w:r>
        <w:rPr>
          <w:rFonts w:ascii="Times New Roman" w:hAnsi="Times New Roman"/>
          <w:sz w:val="22"/>
        </w:rPr>
        <w:t>Event-level customer impact multiplied by duration. Main interpretation: Captures both outage length and affected customers.</w:t>
      </w:r>
    </w:p>
    <w:p>
      <w:pPr>
        <w:spacing w:after="120"/>
      </w:pPr>
      <w:r>
        <w:rPr>
          <w:rFonts w:ascii="Times New Roman" w:hAnsi="Times New Roman"/>
          <w:sz w:val="22"/>
        </w:rPr>
        <w:t>Severe weather is the most consistent predictor of longer duration and larger customer-hour impacts. CVI duration evidence is weaker and more model-sensitive, although social-economic CVI remains the most plausible vulnerability channel.</w:t>
      </w:r>
    </w:p>
    <w:p>
      <w:pPr>
        <w:spacing w:after="120"/>
      </w:pPr>
      <w:r>
        <w:rPr>
          <w:rFonts w:ascii="Times New Roman" w:hAnsi="Times New Roman"/>
          <w:b/>
          <w:sz w:val="22"/>
        </w:rPr>
        <w:t xml:space="preserve">Findings: </w:t>
      </w:r>
      <w:r>
        <w:rPr>
          <w:rFonts w:ascii="Times New Roman" w:hAnsi="Times New Roman"/>
          <w:sz w:val="22"/>
        </w:rPr>
        <w:t>The county-year duration models do not show a stable social-economic CVI effect for median duration, 90th-percentile duration, outages longer than 8 hours, or outages longer than 24 hours. Severe-weather share is significant for 90th-percentile duration (coef. about 0.371, p = 0.020), which suggests weather is more important for extreme duration than for typical duration.</w:t>
      </w:r>
    </w:p>
    <w:p>
      <w:pPr>
        <w:spacing w:after="120"/>
        <w:ind w:left="360"/>
      </w:pPr>
      <w:r>
        <w:rPr>
          <w:rFonts w:ascii="Times New Roman" w:hAnsi="Times New Roman"/>
          <w:sz w:val="22"/>
        </w:rPr>
        <w:t>The event-level models provide the strongest duration evidence. Across 4,518 outage events, severe-weather events have significantly longer log duration (coef. about 0.446, p &lt; 0.001) and much larger customer-hour impacts (coef. about 1.506, p &lt; 0.001).</w:t>
      </w:r>
    </w:p>
    <w:p>
      <w:pPr>
        <w:spacing w:after="120"/>
        <w:ind w:left="360"/>
      </w:pPr>
      <w:r>
        <w:rPr>
          <w:rFonts w:ascii="Times New Roman" w:hAnsi="Times New Roman"/>
          <w:sz w:val="22"/>
        </w:rPr>
        <w:t>Event-level social-economic CVI is not significant in ordinary OLS (coef. about 0.042, p = 0.728), but the Ridge sensitivity check gives a small positive coefficient with an interval barely above zero. This supports a cautious statement: social vulnerability may matter for resilience, but the evidence is weaker than the severe-weather effect.</w:t>
      </w:r>
    </w:p>
    <w:p>
      <w:pPr>
        <w:spacing w:after="120"/>
        <w:ind w:left="0"/>
      </w:pPr>
      <w:r>
        <w:rPr>
          <w:rFonts w:ascii="Times New Roman" w:hAnsi="Times New Roman"/>
          <w:b/>
          <w:sz w:val="22"/>
        </w:rPr>
        <w:t xml:space="preserve">Conclusion: </w:t>
      </w:r>
      <w:r>
        <w:rPr>
          <w:rFonts w:ascii="Times New Roman" w:hAnsi="Times New Roman"/>
          <w:sz w:val="22"/>
        </w:rPr>
        <w:t>The duration analysis shows that frequency and resilience are different problems. Severe weather clearly makes outages longer and more damaging, while the CVI evidence for longer restoration time is weaker. Therefore, the report should not say vulnerable communities definitely experience longer outages; it can say vulnerability may shape resilience, but the strongest duration evidence is weather-related.</w:t>
      </w:r>
    </w:p>
    <w:p>
      <w:pPr>
        <w:pStyle w:val="Heading1"/>
        <w:spacing w:after="120"/>
      </w:pPr>
      <w:r>
        <w:rPr>
          <w:rFonts w:ascii="Times New Roman" w:hAnsi="Times New Roman"/>
          <w:sz w:val="22"/>
        </w:rPr>
        <w:t>Part 11: Robustness Summary</w:t>
      </w:r>
    </w:p>
    <w:p>
      <w:pPr>
        <w:spacing w:after="120"/>
      </w:pPr>
      <w:r>
        <w:rPr>
          <w:rFonts w:ascii="Times New Roman" w:hAnsi="Times New Roman"/>
          <w:sz w:val="22"/>
        </w:rPr>
        <w:t>Part 11 compares results across county-year frequency, county-year duration, event-level OLS, and event-level Ridge specifications. This section is important because it prevents the analysis from relying on a single model specification.</w:t>
      </w:r>
    </w:p>
    <w:p>
      <w:pPr>
        <w:pStyle w:val="ListBullet"/>
        <w:spacing w:after="120"/>
      </w:pPr>
      <w:r>
        <w:rPr>
          <w:rFonts w:ascii="Times New Roman" w:hAnsi="Times New Roman"/>
          <w:sz w:val="22"/>
        </w:rPr>
        <w:t>Methodology: compare coefficient direction, interval coverage, and model level across specifications.</w:t>
      </w:r>
    </w:p>
    <w:p>
      <w:pPr>
        <w:pStyle w:val="ListBullet"/>
        <w:spacing w:after="120"/>
      </w:pPr>
      <w:r>
        <w:rPr>
          <w:rFonts w:ascii="Times New Roman" w:hAnsi="Times New Roman"/>
          <w:sz w:val="22"/>
        </w:rPr>
        <w:t>Main finding: severe weather is robust across model families; social-economic CVI is the clearest vulnerability signal but not uniformly significant.</w:t>
      </w:r>
    </w:p>
    <w:p>
      <w:pPr>
        <w:pStyle w:val="ListBullet"/>
        <w:spacing w:after="120"/>
      </w:pPr>
      <w:r>
        <w:rPr>
          <w:rFonts w:ascii="Times New Roman" w:hAnsi="Times New Roman"/>
          <w:sz w:val="22"/>
        </w:rPr>
        <w:t>Recommended language: describe CVI findings as policy-relevant and directional rather than definitive across every outcome.</w:t>
      </w:r>
    </w:p>
    <w:p>
      <w:pPr>
        <w:spacing w:after="120"/>
      </w:pPr>
      <w:r>
        <w:rPr>
          <w:rFonts w:ascii="Times New Roman" w:hAnsi="Times New Roman"/>
          <w:b/>
          <w:sz w:val="22"/>
        </w:rPr>
        <w:t xml:space="preserve">Findings: </w:t>
      </w:r>
      <w:r>
        <w:rPr>
          <w:rFonts w:ascii="Times New Roman" w:hAnsi="Times New Roman"/>
          <w:sz w:val="22"/>
        </w:rPr>
        <w:t>The robustness table supports the final wording. Social-economic CVI is positive in the county-year frequency OLS, county-year frequency Ridge, event-level OLS, and event-level Ridge models, but most intervals cross zero. It is negative and near zero in the county-year duration OLS model.</w:t>
      </w:r>
    </w:p>
    <w:p>
      <w:pPr>
        <w:spacing w:after="120"/>
        <w:ind w:left="360"/>
      </w:pPr>
      <w:r>
        <w:rPr>
          <w:rFonts w:ascii="Times New Roman" w:hAnsi="Times New Roman"/>
          <w:sz w:val="22"/>
        </w:rPr>
        <w:t>Only the event-level Ridge version gives a positive social-economic CVI interval that excludes zero. Therefore, the notebook supports a careful interpretation of recurring positive direction, not a strong causal claim.</w:t>
      </w:r>
    </w:p>
    <w:p>
      <w:pPr>
        <w:spacing w:after="120"/>
        <w:ind w:left="0"/>
      </w:pPr>
      <w:r>
        <w:rPr>
          <w:rFonts w:ascii="Times New Roman" w:hAnsi="Times New Roman"/>
          <w:b/>
          <w:sz w:val="22"/>
        </w:rPr>
        <w:t xml:space="preserve">Conclusion: </w:t>
      </w:r>
      <w:r>
        <w:rPr>
          <w:rFonts w:ascii="Times New Roman" w:hAnsi="Times New Roman"/>
          <w:sz w:val="22"/>
        </w:rPr>
        <w:t>The robustness section tells us which claims are stable enough to carry forward. The safest final conclusion is that social-economic vulnerability repeatedly points in the expected direction, but only some specifications make it statistically clear; severe weather remains the most dependable finding across the notebook.</w:t>
      </w:r>
    </w:p>
    <w:p>
      <w:pPr>
        <w:pStyle w:val="Heading1"/>
        <w:spacing w:after="120"/>
      </w:pPr>
      <w:r>
        <w:rPr>
          <w:rFonts w:ascii="Times New Roman" w:hAnsi="Times New Roman"/>
          <w:sz w:val="22"/>
        </w:rPr>
        <w:t>Part 12: Mechanism Interpretation</w:t>
      </w:r>
    </w:p>
    <w:p>
      <w:pPr>
        <w:spacing w:after="120"/>
      </w:pPr>
      <w:r>
        <w:rPr>
          <w:rFonts w:ascii="Times New Roman" w:hAnsi="Times New Roman"/>
          <w:sz w:val="22"/>
        </w:rPr>
        <w:t>Part 12 synthesizes the frequency and duration evidence. The careful interpretation is that outage burden has a strong weather component and a more cautious vulnerability component. Social-economic vulnerability appears most relevant in the corrected county-month frequency model and in selected event-level duration sensitivity checks.</w:t>
      </w:r>
    </w:p>
    <w:p>
      <w:pPr>
        <w:pStyle w:val="ListBullet"/>
        <w:spacing w:after="120"/>
      </w:pPr>
      <w:r>
        <w:rPr>
          <w:rFonts w:ascii="Times New Roman" w:hAnsi="Times New Roman"/>
          <w:sz w:val="22"/>
        </w:rPr>
        <w:t>Strongest claim: severe weather is consistently associated with more severe outage outcomes.</w:t>
      </w:r>
    </w:p>
    <w:p>
      <w:pPr>
        <w:pStyle w:val="ListBullet"/>
        <w:spacing w:after="120"/>
      </w:pPr>
      <w:r>
        <w:rPr>
          <w:rFonts w:ascii="Times New Roman" w:hAnsi="Times New Roman"/>
          <w:sz w:val="22"/>
        </w:rPr>
        <w:t>Most credible CVI pattern: social-economic vulnerability is associated with higher outage frequency and may relate to longer restoration burden.</w:t>
      </w:r>
    </w:p>
    <w:p>
      <w:pPr>
        <w:pStyle w:val="ListBullet"/>
        <w:spacing w:after="120"/>
      </w:pPr>
      <w:r>
        <w:rPr>
          <w:rFonts w:ascii="Times New Roman" w:hAnsi="Times New Roman"/>
          <w:sz w:val="22"/>
        </w:rPr>
        <w:t>What not to claim: every CVI dimension predicts every outage outcome. Climate-extreme-events CVI, in particular, should be treated cautiously because its sign is not intuitive in some models.</w:t>
      </w:r>
    </w:p>
    <w:p>
      <w:pPr>
        <w:spacing w:after="120"/>
      </w:pPr>
      <w:r>
        <w:rPr>
          <w:rFonts w:ascii="Times New Roman" w:hAnsi="Times New Roman"/>
          <w:b/>
          <w:sz w:val="22"/>
        </w:rPr>
        <w:t xml:space="preserve">Findings: </w:t>
      </w:r>
      <w:r>
        <w:rPr>
          <w:rFonts w:ascii="Times New Roman" w:hAnsi="Times New Roman"/>
          <w:sz w:val="22"/>
        </w:rPr>
        <w:t>County summaries show that Queens has the highest mean outage occurrence, about 178.6, followed by Brooklyn at 104.0 and the Bronx at 86.5. Manhattan has the lowest mean outage occurrence, about 32.8, but has a higher median event duration than most boroughs.</w:t>
      </w:r>
    </w:p>
    <w:p>
      <w:pPr>
        <w:spacing w:after="120"/>
        <w:ind w:left="360"/>
      </w:pPr>
      <w:r>
        <w:rPr>
          <w:rFonts w:ascii="Times New Roman" w:hAnsi="Times New Roman"/>
          <w:sz w:val="22"/>
        </w:rPr>
        <w:t>The Bronx has the highest social-economic CVI among the five counties, about 0.761, while Brooklyn and Queens are also elevated at about 0.586 and 0.575. This helps explain why vulnerability and outage burden do not map perfectly onto each other: exposure, infrastructure, and event severity operate through different channels.</w:t>
      </w:r>
    </w:p>
    <w:p>
      <w:pPr>
        <w:spacing w:after="120"/>
        <w:ind w:left="360"/>
      </w:pPr>
      <w:r>
        <w:rPr>
          <w:rFonts w:ascii="Times New Roman" w:hAnsi="Times New Roman"/>
          <w:sz w:val="22"/>
        </w:rPr>
        <w:t>The final interpretation should separate frequency from resilience. Severe weather is the most consistent predictor across the notebook; social-economic vulnerability is a plausible equity signal, but it is more sensitive to model choice and aggregation level.</w:t>
      </w:r>
    </w:p>
    <w:p>
      <w:pPr>
        <w:spacing w:after="120"/>
        <w:ind w:left="0"/>
      </w:pPr>
      <w:r>
        <w:rPr>
          <w:rFonts w:ascii="Times New Roman" w:hAnsi="Times New Roman"/>
          <w:b/>
          <w:sz w:val="22"/>
        </w:rPr>
        <w:t xml:space="preserve">Conclusion: </w:t>
      </w:r>
      <w:r>
        <w:rPr>
          <w:rFonts w:ascii="Times New Roman" w:hAnsi="Times New Roman"/>
          <w:sz w:val="22"/>
        </w:rPr>
        <w:t>The borough comparison makes the final story more concrete: outage burden is not distributed through one single channel. Queens and Brooklyn show high outage occurrence, the Bronx shows high social-economic vulnerability, and Manhattan shows relatively low occurrence but longer median duration. That means policy interpretation should combine exposure, vulnerability, and restoration/resilience rather than ranking communities by one number only.</w:t>
      </w:r>
    </w:p>
    <w:p>
      <w:pPr>
        <w:pStyle w:val="Heading1"/>
        <w:spacing w:after="120"/>
      </w:pPr>
      <w:r>
        <w:rPr>
          <w:rFonts w:ascii="Times New Roman" w:hAnsi="Times New Roman"/>
          <w:sz w:val="22"/>
        </w:rPr>
        <w:t>Key Limitations</w:t>
      </w:r>
    </w:p>
    <w:p>
      <w:pPr>
        <w:pStyle w:val="ListBullet"/>
        <w:spacing w:after="120"/>
      </w:pPr>
      <w:r>
        <w:rPr>
          <w:rFonts w:ascii="Times New Roman" w:hAnsi="Times New Roman"/>
          <w:sz w:val="22"/>
        </w:rPr>
        <w:t>County-month models have approximately 600 observations (5 counties × 10 years × 12 months), so p-values and confidence intervals should be interpreted cautiously.</w:t>
      </w:r>
    </w:p>
    <w:p>
      <w:pPr>
        <w:pStyle w:val="ListBullet"/>
        <w:spacing w:after="120"/>
      </w:pPr>
      <w:r>
        <w:rPr>
          <w:rFonts w:ascii="Times New Roman" w:hAnsi="Times New Roman"/>
          <w:sz w:val="22"/>
        </w:rPr>
        <w:t>Only five counties are observed, which makes cross-sectional estimates sensitive to individual counties.</w:t>
      </w:r>
    </w:p>
    <w:p>
      <w:pPr>
        <w:pStyle w:val="ListBullet"/>
        <w:spacing w:after="120"/>
      </w:pPr>
      <w:r>
        <w:rPr>
          <w:rFonts w:ascii="Times New Roman" w:hAnsi="Times New Roman"/>
          <w:sz w:val="22"/>
        </w:rPr>
        <w:t>Tract-level regressions are exploratory because outage outcomes repeat within county-year cells.</w:t>
      </w:r>
    </w:p>
    <w:p>
      <w:pPr>
        <w:pStyle w:val="ListBullet"/>
        <w:spacing w:after="120"/>
      </w:pPr>
      <w:r>
        <w:rPr>
          <w:rFonts w:ascii="Times New Roman" w:hAnsi="Times New Roman"/>
          <w:sz w:val="22"/>
        </w:rPr>
        <w:t>Ridge models should be treated as sensitivity checks unless alpha is selected by cross-validation.</w:t>
      </w:r>
    </w:p>
    <w:p>
      <w:pPr>
        <w:pStyle w:val="ListBullet"/>
        <w:spacing w:after="120"/>
      </w:pPr>
      <w:r>
        <w:rPr>
          <w:rFonts w:ascii="Times New Roman" w:hAnsi="Times New Roman"/>
          <w:sz w:val="22"/>
        </w:rPr>
        <w:t>The severe-weather flag should be documented more fully, especially whether it is assigned at the event level or row level.</w:t>
      </w:r>
    </w:p>
    <w:p>
      <w:pPr>
        <w:pStyle w:val="ListBullet"/>
        <w:spacing w:after="120"/>
      </w:pPr>
      <w:r>
        <w:rPr>
          <w:rFonts w:ascii="Times New Roman" w:hAnsi="Times New Roman"/>
          <w:sz w:val="22"/>
        </w:rPr>
        <w:t>True tract-level inference would require more granular utility outage data or a data source where outage outcomes vary independently by tract.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EDA | Methods and Results Summary by Notebook Part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