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使用Bmob后端云，实例化BmobUser对象，通过匿名类中onSuccess和onFailure方法来验证和注册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19250" cy="48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新闻API/微信API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使用聚合数据平台上提供的免费的API（新闻头条和微信精选）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借助okHttp、retrofit和rxjava获取新闻（一次获取30条新闻，解析json后放入arrylist中）使用RecyclerView显示新闻列表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item绑定点击事件（传入title和url），通过webview展示资讯的详细内容</w:t>
      </w:r>
    </w:p>
    <w:p>
      <w:r>
        <w:drawing>
          <wp:inline distT="0" distB="0" distL="114300" distR="114300">
            <wp:extent cx="254317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第三方平台分享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使用Mob ShareSDK分享不同平台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设置好使用的参数（标题，网络链接，文本，评论）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初始化ShareSDK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9067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ButterKnife</w:t>
      </w:r>
      <w:r>
        <w:rPr>
          <w:rFonts w:hint="eastAsia" w:ascii="Arial" w:hAnsi="Arial" w:eastAsia="宋体" w:cs="Arial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的使用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09800" cy="742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E6CA3"/>
    <w:rsid w:val="60FA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2019-01-02T09:24:00Z</dcterms:created>
  <dc:creator>[ 是时光让耳朵变得宽容 ]</dc:creator>
  <cp:lastModifiedBy>[ 是时光让耳朵变得宽容 ]</cp:lastModifiedBy>
  <dcterms:modified xsi:type="dcterms:W3CDTF">2019-01-03T07:23:42Z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