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SimpleGrid</w:t>
      </w:r>
    </w:p>
    <w:p>
      <w:pPr>
        <w:spacing w:after="60" w:before="0"/>
      </w:pPr>
      <w:r>
        <w:rPr>
          <w:rFonts w:ascii="Calibri" w:cs="Calibri" w:eastAsia="Calibri" w:hAnsi="Calibri"/>
          <w:color w:val="4A7BF7"/>
          <w:sz w:val="32"/>
          <w:szCs w:val="32"/>
        </w:rPr>
        <w:t xml:space="preserve">Brand Guidelines</w:t>
      </w:r>
    </w:p>
    <w:p>
      <w:pPr>
        <w:spacing w:after="200" w:before="0"/>
      </w:pPr>
      <w:r>
        <w:rPr>
          <w:i/>
          <w:iCs/>
          <w:color w:val="9CA3AF"/>
          <w:sz w:val="20"/>
          <w:szCs w:val="20"/>
        </w:rPr>
        <w:t xml:space="preserve">Version 1.0  |  March 2026  |  Strictly Private and Confidential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1. Brand Overview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1.1 Who We Are</w:t>
      </w:r>
    </w:p>
    <w:p>
      <w:pPr>
        <w:spacing w:after="40" w:before="40" w:line="280"/>
      </w:pPr>
      <w:r>
        <w:t xml:space="preserve">SimpleGrid is an AI-native ERP platform that deploys in 7 days. We replace 12–18 month enterprise software implementations with schema-driven, AI-powered configurations that adapt to how businesses actually operate.</w:t>
      </w:r>
    </w:p>
    <w:p>
      <w:pPr>
        <w:spacing w:after="40" w:before="40" w:line="280"/>
      </w:pPr>
      <w:r>
        <w:t xml:space="preserve">Built for mid-market businesses (200–1500 employees) across manufacturing, D2C, distribution, real estate, and finance — companies stuck between spreadsheets and enterprise ERPs they can't afford.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1.2 Brand Essence</w:t>
      </w:r>
    </w:p>
    <w:p>
      <w:pPr>
        <w:spacing w:after="40" w:before="40" w:line="280"/>
      </w:pPr>
      <w:r>
        <w:t xml:space="preserve">Operational intelligence meets radical simplicity. Enterprise software should adapt to the business — not the other way around.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1.3 Core Taglines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Tagline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Use Case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You don't adapt to the system. The system adapts to you.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Primary tagline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Hero sections, pitch decks, website banner</w:t>
            </w:r>
          </w:p>
        </w:tc>
      </w:tr>
      <w:tr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AI makes. Humans approve.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Core value proposition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Product pages, investor decks, sales collateral</w:t>
            </w:r>
          </w:p>
        </w:tc>
      </w:tr>
      <w:tr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Execution First, System Second.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Positioning statement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Solution pages, case studies, long-form content</w:t>
            </w:r>
          </w:p>
        </w:tc>
      </w:tr>
      <w:tr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For operators, not accountants.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Audience statement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Website subheading, social media bios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2. Logo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2.1 Primary Logo</w:t>
      </w:r>
    </w:p>
    <w:p>
      <w:pPr>
        <w:spacing w:after="40" w:before="40" w:line="280"/>
      </w:pPr>
      <w:r>
        <w:t xml:space="preserve">Two elements: Grid Icon (3×3 grid inside a rounded square) + Wordmark ("SimpleGrid" in Geist Medium, 500 weight). Always appear together in the primary logo.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2.2 Logo Construction</w:t>
      </w:r>
    </w:p>
    <w:p>
      <w:pPr>
        <w:spacing w:after="40" w:before="40" w:line="280"/>
      </w:pPr>
      <w:r>
        <w:rPr>
          <w:b/>
          <w:bCs/>
        </w:rPr>
        <w:t xml:space="preserve">Grid Icon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Outer: Rounded square, 5px radius, 2.5px stroke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Inner: Two vertical + two horizontal dividers creating a 3×3 grid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Stroke: 2px, round line caps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Color: #1A1A1A on light backgrounds, #FFFFFF on dark</w:t>
      </w:r>
    </w:p>
    <w:p>
      <w:pPr>
        <w:spacing w:after="40" w:before="100" w:line="280"/>
      </w:pPr>
      <w:r>
        <w:rPr>
          <w:b/>
          <w:bCs/>
        </w:rPr>
        <w:t xml:space="preserve">Wordmark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Font: Geist Medium (weight 500)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Letter spacing: -0.3px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Written as one word: "SimpleGrid" (capital S, capital G, no space)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2.3 Logo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Variant</w:t>
            </w:r>
          </w:p>
        </w:tc>
        <w:tc>
          <w:tcPr>
            <w:tcW w:type="dxa" w:w="33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Primary (Horizontal)</w:t>
            </w:r>
          </w:p>
        </w:tc>
        <w:tc>
          <w:tcPr>
            <w:tcW w:type="dxa" w:w="33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Grid icon + "SimpleGrid" wordmark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Default. Website header, pitch decks, documents</w:t>
            </w:r>
          </w:p>
        </w:tc>
      </w:tr>
      <w:t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Icon Only</w:t>
            </w:r>
          </w:p>
        </w:tc>
        <w:tc>
          <w:tcPr>
            <w:tcW w:type="dxa" w:w="33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Grid icon without wordmark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Favicons, app icons, social avatars, small spaces</w:t>
            </w:r>
          </w:p>
        </w:tc>
      </w:tr>
      <w:t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Dark Mode</w:t>
            </w:r>
          </w:p>
        </w:tc>
        <w:tc>
          <w:tcPr>
            <w:tcW w:type="dxa" w:w="33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White icon + white wordmark on dark backgrounds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Dark slides, dark website sections, video overlays</w:t>
            </w:r>
          </w:p>
        </w:tc>
      </w:tr>
      <w:t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Watermark</w:t>
            </w:r>
          </w:p>
        </w:tc>
        <w:tc>
          <w:tcPr>
            <w:tcW w:type="dxa" w:w="33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Light gray icon at reduced opacity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Document backgrounds, slide footers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2.4 Logo Rules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Minimum clear space = height of the grid icon on all sides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Use on white or navy backgrounds only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Never place on busy images or gradients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3. Color Palette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3.1 Primary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1320"/>
        <w:gridCol w:w="5520"/>
      </w:tblGrid>
      <w:tr>
        <w:trPr>
          <w:tblHeader/>
        </w:trP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SimpleGrid Black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#1A1A1A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Logo, headings, primary text, high-emphasis elements</w:t>
            </w:r>
          </w:p>
        </w:tc>
      </w:tr>
      <w:t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4A7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SimpleGrid Blue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#4A7BF7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CTAs, links, section tags, highlighted data, interactive elements</w:t>
            </w:r>
          </w:p>
        </w:tc>
      </w:tr>
      <w:t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White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#FFFFFF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Page backgrounds, card backgrounds, clean space</w:t>
            </w:r>
          </w:p>
        </w:tc>
      </w:tr>
      <w:t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Off-White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#FAFBFC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Alternate backgrounds, table headers, subtle section separation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3.2 Supporting Colors</w:t>
      </w:r>
    </w:p>
    <w:p>
      <w:pPr>
        <w:spacing w:after="40" w:before="40" w:line="280"/>
      </w:pPr>
      <w:r>
        <w:t xml:space="preserve">Used sparingly. Never as dominant brand colors.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1320"/>
        <w:gridCol w:w="5520"/>
      </w:tblGrid>
      <w:tr>
        <w:trPr>
          <w:tblHeader/>
        </w:trP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3461D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Blue Dark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#3461D1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Hover states, pressed buttons, secondary emphasis</w:t>
            </w:r>
          </w:p>
        </w:tc>
      </w:tr>
      <w:t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Blue Light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#EBF0FF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Highlight backgrounds, callout boxes, table accents</w:t>
            </w:r>
          </w:p>
        </w:tc>
      </w:tr>
      <w:t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Charcoal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#2D2D2D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Dark mode backgrounds, closing slides in presentations</w:t>
            </w:r>
          </w:p>
        </w:tc>
      </w:tr>
      <w:t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4A556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Dark Gray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#4A5568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Body text, secondary copy</w:t>
            </w:r>
          </w:p>
        </w:tc>
      </w:tr>
      <w:t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9CA3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Mid Gray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#9CA3AF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Muted text, captions, metadata, timestamps</w:t>
            </w:r>
          </w:p>
        </w:tc>
      </w:tr>
      <w:t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5E8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Light Gray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#E5E8ED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Borders, dividers, table lines, card strokes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3.3 Semantic Colors</w:t>
      </w:r>
    </w:p>
    <w:p>
      <w:pPr>
        <w:spacing w:after="40" w:before="40" w:line="280"/>
      </w:pPr>
      <w:r>
        <w:t xml:space="preserve">Used strictly for meaning — never decorative.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1320"/>
        <w:gridCol w:w="5520"/>
      </w:tblGrid>
      <w:tr>
        <w:trPr>
          <w:tblHeader/>
        </w:trP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Teal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#0EA5E9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Secondary category, architecture diagrams, complementary accent</w:t>
            </w:r>
          </w:p>
        </w:tc>
      </w:tr>
      <w:t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Red / Coral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#EF4444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Errors, warnings, problem statements, pain points</w:t>
            </w:r>
          </w:p>
        </w:tc>
      </w:tr>
      <w:t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Green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#10B981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Success states, checkmarks, positive metrics, approvals</w:t>
            </w:r>
          </w:p>
        </w:tc>
      </w:tr>
      <w:t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Gold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#F59E0B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Highlights, trophies, traction stats, timeline accents</w:t>
            </w:r>
          </w:p>
        </w:tc>
      </w:tr>
      <w:tr>
        <w:tc>
          <w:tcPr>
            <w:tcW w:type="dxa" w:w="7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sz w:val="20"/>
                <w:szCs w:val="20"/>
              </w:rPr>
              <w:t xml:space="preserve">Purple</w:t>
            </w:r>
          </w:p>
        </w:tc>
        <w:tc>
          <w:tcPr>
            <w:tcW w:type="dxa" w:w="13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#7C3AED</w:t>
            </w:r>
          </w:p>
        </w:tc>
        <w:tc>
          <w:tcPr>
            <w:tcW w:type="dxa" w:w="55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Tertiary accent, tech/AI category, roadmap highlights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3.4 Color Ratios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70% — White / Off-White (dominant background)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20% — Black + Gray (text, headings, structure)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10% — Blue + supporting colors (accent, emphasis)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4. Typography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4.1 Font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680"/>
        <w:gridCol w:w="1920"/>
        <w:gridCol w:w="3840"/>
      </w:tblGrid>
      <w:tr>
        <w:trPr>
          <w:tblHeader/>
        </w:trPr>
        <w:tc>
          <w:tcPr>
            <w:tcW w:type="dxa" w:w="19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Role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Font</w:t>
            </w:r>
          </w:p>
        </w:tc>
        <w:tc>
          <w:tcPr>
            <w:tcW w:type="dxa" w:w="19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Weight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Fallback</w:t>
            </w:r>
          </w:p>
        </w:tc>
      </w:tr>
      <w:tr>
        <w:tc>
          <w:tcPr>
            <w:tcW w:type="dxa" w:w="19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Logo / Brand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Geist</w:t>
            </w:r>
          </w:p>
        </w:tc>
        <w:tc>
          <w:tcPr>
            <w:tcW w:type="dxa" w:w="19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Medium (500)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-apple-system, SF Pro Display, Segoe UI, sans-serif</w:t>
            </w:r>
          </w:p>
        </w:tc>
      </w:tr>
      <w:tr>
        <w:tc>
          <w:tcPr>
            <w:tcW w:type="dxa" w:w="19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Headings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Calibri</w:t>
            </w:r>
          </w:p>
        </w:tc>
        <w:tc>
          <w:tcPr>
            <w:tcW w:type="dxa" w:w="19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Semi-bold (600)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Calibri, Trebuchet MS, sans-serif</w:t>
            </w:r>
          </w:p>
        </w:tc>
      </w:tr>
      <w:tr>
        <w:tc>
          <w:tcPr>
            <w:tcW w:type="dxa" w:w="19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Body Text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Calibri</w:t>
            </w:r>
          </w:p>
        </w:tc>
        <w:tc>
          <w:tcPr>
            <w:tcW w:type="dxa" w:w="19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Calibri, -apple-system, sans-serif</w:t>
            </w:r>
          </w:p>
        </w:tc>
      </w:tr>
      <w:tr>
        <w:tc>
          <w:tcPr>
            <w:tcW w:type="dxa" w:w="19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Code / Data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Consolas</w:t>
            </w:r>
          </w:p>
        </w:tc>
        <w:tc>
          <w:tcPr>
            <w:tcW w:type="dxa" w:w="19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Consolas, SF Mono, monospace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4.2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1680"/>
        <w:gridCol w:w="3600"/>
      </w:tblGrid>
      <w:tr>
        <w:trPr>
          <w:tblHeader/>
        </w:trP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Element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Size (Web)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Size (Print)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Hero / Display Title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36–48px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36–44pt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Bold, #1A1A1A, tight letter-spacing</w:t>
            </w:r>
          </w:p>
        </w:tc>
      </w:tr>
      <w:t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Section Heading (H1)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28–32px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26–30pt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Bold, #1A1A1A</w:t>
            </w:r>
          </w:p>
        </w:tc>
      </w:tr>
      <w:t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Subsection (H2)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20–24px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18–22pt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Semi-bold, #4A7BF7 or #1A1A1A</w:t>
            </w:r>
          </w:p>
        </w:tc>
      </w:tr>
      <w:t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Body Text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14–16px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11–12pt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Regular, #4A5568, 1.5 line height</w:t>
            </w:r>
          </w:p>
        </w:tc>
      </w:tr>
      <w:t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Captions / Metadata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10–12px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9–10pt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Regular, #9CA3AF</w:t>
            </w:r>
          </w:p>
        </w:tc>
      </w:tr>
      <w:t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Section Tags / Labels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8–10px</w:t>
            </w:r>
          </w:p>
        </w:tc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8–9pt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Bold, uppercase, #4A7BF7, 2px letter-spacing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5. Tone of Voice &amp; Messaging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5.1 The Voice: Operator-Direct</w:t>
      </w:r>
    </w:p>
    <w:p>
      <w:pPr>
        <w:spacing w:after="40" w:before="40" w:line="280"/>
      </w:pPr>
      <w:r>
        <w:t xml:space="preserve">If Zomato is the witty friend, Zerodha is the quiet expert, and SAP is the consultant in a suit — SimpleGrid is the founder who ran a factory, got burned by software, and built what he wished existed.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5.2 Voice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Attribute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What it's NOT</w:t>
            </w:r>
          </w:p>
        </w:tc>
      </w:tr>
      <w:tr>
        <w:tc>
          <w:tcPr>
            <w:tcW w:type="dxa" w:w="21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Direct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Short sentences. Lead with the point. No warming up.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Aggressive or rude. We're blunt, not hostile.</w:t>
            </w:r>
          </w:p>
        </w:tc>
      </w:tr>
      <w:tr>
        <w:tc>
          <w:tcPr>
            <w:tcW w:type="dxa" w:w="21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Operator-grounded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Language of the factory floor, not the boardroom. WhatsApp, Excel, paper notebooks.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Jargon-heavy. No "digital transformation" or "synergy."</w:t>
            </w:r>
          </w:p>
        </w:tc>
      </w:tr>
      <w:tr>
        <w:tc>
          <w:tcPr>
            <w:tcW w:type="dxa" w:w="21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Contrast-driven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Defined against what's broken. "7 days, not 12 months."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Negative or dismissive. Respect the problem, not the incumbents.</w:t>
            </w:r>
          </w:p>
        </w:tc>
      </w:tr>
      <w:tr>
        <w:tc>
          <w:tcPr>
            <w:tcW w:type="dxa" w:w="21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Confident, not arrogant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State what we do without hedging. "We deploy in 7 days."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Overselling. No "revolutionary" or "world-class."</w:t>
            </w:r>
          </w:p>
        </w:tc>
      </w:tr>
      <w:tr>
        <w:tc>
          <w:tcPr>
            <w:tcW w:type="dxa" w:w="21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Founder-personal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Founder's story is woven in. "Built by a manufacturer who's been in your shoes."</w:t>
            </w:r>
          </w:p>
        </w:tc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Performative vulnerability. No startup theatre.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5.3 The Rhythm</w:t>
      </w:r>
    </w:p>
    <w:p>
      <w:pPr>
        <w:spacing w:after="40" w:before="40" w:line="280"/>
      </w:pPr>
      <w:r>
        <w:t xml:space="preserve">Short sentences. Then a longer one that lands the point. Then short again.</w:t>
      </w:r>
    </w:p>
    <w:p>
      <w:pPr>
        <w:spacing w:after="40" w:before="40" w:line="280"/>
      </w:pPr>
      <w:r>
        <w:rPr>
          <w:i/>
          <w:iCs/>
          <w:color w:val="4A5568"/>
        </w:rPr>
        <w:t xml:space="preserve">Example: "You started with basic tools. They worked, until they didn't. Now approvals take too long, workflows break across spreadsheets, and simple tasks require multiple handoffs."</w:t>
      </w:r>
    </w:p>
    <w:p>
      <w:pPr>
        <w:spacing w:after="40" w:before="40" w:line="280"/>
      </w:pPr>
      <w:r>
        <w:t xml:space="preserve">When copy uses long compound sentences with multiple clauses, rewrite in this rhythm.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5.4 The Contrast Formula</w:t>
      </w:r>
    </w:p>
    <w:p>
      <w:pPr>
        <w:spacing w:after="40" w:before="40" w:line="280"/>
      </w:pPr>
      <w:r>
        <w:t xml:space="preserve">Every strong SimpleGrid line follows: [Old painful thing] vs [Our better thing].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Pattern</w:t>
            </w:r>
          </w:p>
        </w:tc>
        <w:tc>
          <w:tcPr>
            <w:tcW w:type="dxa" w:w="64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Time contrast</w:t>
            </w:r>
          </w:p>
        </w:tc>
        <w:tc>
          <w:tcPr>
            <w:tcW w:type="dxa" w:w="64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12 months → 7 days</w:t>
            </w:r>
          </w:p>
        </w:tc>
      </w:tr>
      <w:tr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Audience contrast</w:t>
            </w:r>
          </w:p>
        </w:tc>
        <w:tc>
          <w:tcPr>
            <w:tcW w:type="dxa" w:w="64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For operators, not accountants</w:t>
            </w:r>
          </w:p>
        </w:tc>
      </w:tr>
      <w:tr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Approach contrast</w:t>
            </w:r>
          </w:p>
        </w:tc>
        <w:tc>
          <w:tcPr>
            <w:tcW w:type="dxa" w:w="64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No code. No consultants.</w:t>
            </w:r>
          </w:p>
        </w:tc>
      </w:tr>
      <w:tr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Philosophy contrast</w:t>
            </w:r>
          </w:p>
        </w:tc>
        <w:tc>
          <w:tcPr>
            <w:tcW w:type="dxa" w:w="64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You don't adapt to the system. The system adapts to you.</w:t>
            </w:r>
          </w:p>
        </w:tc>
      </w:tr>
      <w:tr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Risk contrast</w:t>
            </w:r>
          </w:p>
        </w:tc>
        <w:tc>
          <w:tcPr>
            <w:tcW w:type="dxa" w:w="64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If it doesn't work, walk away.</w:t>
            </w:r>
          </w:p>
        </w:tc>
      </w:tr>
    </w:tbl>
    <w:p>
      <w:pPr>
        <w:spacing w:after="40" w:before="40" w:line="280"/>
      </w:pPr>
      <w:r>
        <w:t xml:space="preserve">Default structure for headlines, taglines, and opening lines. If copy doesn't feel "SimpleGrid," check: does it have a contrast? If not, add one.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5.5 Words We Use vs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880"/>
        <w:gridCol w:w="3840"/>
      </w:tblGrid>
      <w:tr>
        <w:trPr>
          <w:tblHeader/>
        </w:trPr>
        <w:tc>
          <w:tcPr>
            <w:tcW w:type="dxa" w:w="26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Use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Avoid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Deploy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Implement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"Implement" sounds like 18 months.</w:t>
            </w:r>
          </w:p>
        </w:tc>
      </w:tr>
      <w:tr>
        <w:tc>
          <w:tcPr>
            <w:tcW w:type="dxa" w:w="26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Configure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Customize / Develop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We don't write code per client.</w:t>
            </w:r>
          </w:p>
        </w:tc>
      </w:tr>
      <w:tr>
        <w:tc>
          <w:tcPr>
            <w:tcW w:type="dxa" w:w="26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Operators / Supervisors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Users / Stakeholders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Our people have real jobs.</w:t>
            </w:r>
          </w:p>
        </w:tc>
      </w:tr>
      <w:tr>
        <w:tc>
          <w:tcPr>
            <w:tcW w:type="dxa" w:w="26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Schema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Module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We don't have modules. Schemas are our unit.</w:t>
            </w:r>
          </w:p>
        </w:tc>
      </w:tr>
      <w:tr>
        <w:tc>
          <w:tcPr>
            <w:tcW w:type="dxa" w:w="26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Event ledger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Specificity shows we're different.</w:t>
            </w:r>
          </w:p>
        </w:tc>
      </w:tr>
      <w:tr>
        <w:tc>
          <w:tcPr>
            <w:tcW w:type="dxa" w:w="26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Go live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Launch / Roll out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"Go live" is what factory people say.</w:t>
            </w:r>
          </w:p>
        </w:tc>
      </w:tr>
      <w:tr>
        <w:tc>
          <w:tcPr>
            <w:tcW w:type="dxa" w:w="26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Works like WhatsApp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Intuitive UX / User-friendly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Show the analogy, don't claim the adjective.</w:t>
            </w:r>
          </w:p>
        </w:tc>
      </w:tr>
      <w:tr>
        <w:tc>
          <w:tcPr>
            <w:tcW w:type="dxa" w:w="26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Built by a manufacturer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Founded by an industry expert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Concrete &gt; vague.</w:t>
            </w:r>
          </w:p>
        </w:tc>
      </w:tr>
      <w:tr>
        <w:tc>
          <w:tcPr>
            <w:tcW w:type="dxa" w:w="26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Bespoke to your business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Tailored solution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"Bespoke" implies handmade. "Tailored" is SaaS-speak.</w:t>
            </w:r>
          </w:p>
        </w:tc>
      </w:tr>
      <w:tr>
        <w:tc>
          <w:tcPr>
            <w:tcW w:type="dxa" w:w="26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Walk away</w:t>
            </w:r>
          </w:p>
        </w:tc>
        <w:tc>
          <w:tcPr>
            <w:tcW w:type="dxa" w:w="28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Cancel anytime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"Walk away" is more visceral and honest.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5.6 Proof Language</w:t>
      </w:r>
    </w:p>
    <w:p>
      <w:pPr>
        <w:spacing w:after="40" w:before="40" w:line="280"/>
      </w:pPr>
      <w:r>
        <w:t xml:space="preserve">Ground claims in specifics. Never use unanchored superlatives.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Don't say</w:t>
            </w:r>
          </w:p>
        </w:tc>
        <w:tc>
          <w:tcPr>
            <w:tcW w:type="dxa" w:w="57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Say instead</w:t>
            </w:r>
          </w:p>
        </w:tc>
      </w:tr>
      <w:tr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Revolutionary AI-powered platform</w:t>
            </w:r>
          </w:p>
        </w:tc>
        <w:tc>
          <w:tcPr>
            <w:tcW w:type="dxa" w:w="57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AI writes the schema in hours. The platform does the rest.</w:t>
            </w:r>
          </w:p>
        </w:tc>
      </w:tr>
      <w:tr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Industry-leading deployment speed</w:t>
            </w:r>
          </w:p>
        </w:tc>
        <w:tc>
          <w:tcPr>
            <w:tcW w:type="dxa" w:w="57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SAP quoted 18 months. We deployed in 7 days.</w:t>
            </w:r>
          </w:p>
        </w:tc>
      </w:tr>
      <w:tr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Trusted by businesses</w:t>
            </w:r>
          </w:p>
        </w:tc>
        <w:tc>
          <w:tcPr>
            <w:tcW w:type="dxa" w:w="57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Our pilot client has 500 employees and two factories.</w:t>
            </w:r>
          </w:p>
        </w:tc>
      </w:tr>
      <w:tr>
        <w:tc>
          <w:tcPr>
            <w:tcW w:type="dxa" w:w="36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Seamless integration</w:t>
            </w:r>
          </w:p>
        </w:tc>
        <w:tc>
          <w:tcPr>
            <w:tcW w:type="dxa" w:w="57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Upload your Excel. AI reads it. Done.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5.7 Audience-Specific 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20"/>
        <w:gridCol w:w="3840"/>
      </w:tblGrid>
      <w:tr>
        <w:trPr>
          <w:tblHeader/>
        </w:trP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Audience</w:t>
            </w:r>
          </w:p>
        </w:tc>
        <w:tc>
          <w:tcPr>
            <w:tcW w:type="dxa" w:w="31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Tone shift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Example opener</w:t>
            </w:r>
          </w:p>
        </w:tc>
      </w:tr>
      <w:t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MSME founders / Plant heads</w:t>
            </w:r>
          </w:p>
        </w:tc>
        <w:tc>
          <w:tcPr>
            <w:tcW w:type="dxa" w:w="31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Empathetic. You've-been-there. Lead with pain.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"You know what happens when the system slows the business."</w:t>
            </w:r>
          </w:p>
        </w:tc>
      </w:tr>
      <w:t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IT heads / CTOs</w:t>
            </w:r>
          </w:p>
        </w:tc>
        <w:tc>
          <w:tcPr>
            <w:tcW w:type="dxa" w:w="31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Technical respect. Show architecture briefly.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"Schema-driven config on an event ledger. No modules."</w:t>
            </w:r>
          </w:p>
        </w:tc>
      </w:tr>
      <w:t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Engineers (hiring)</w:t>
            </w:r>
          </w:p>
        </w:tc>
        <w:tc>
          <w:tcPr>
            <w:tcW w:type="dxa" w:w="31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Provocative. Challenge their ambition.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"12-month ERP implementation" should make you cringe."</w:t>
            </w:r>
          </w:p>
        </w:tc>
      </w:tr>
      <w:tr>
        <w:tc>
          <w:tcPr>
            <w:tcW w:type="dxa" w:w="240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Investors</w:t>
            </w:r>
          </w:p>
        </w:tc>
        <w:tc>
          <w:tcPr>
            <w:tcW w:type="dxa" w:w="31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Data-first. Market size then moat.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"$317B market. 96% need customization. We're the only ones who make it instant."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6. Brand Filters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6.1 Brand in One Sentence</w:t>
      </w:r>
    </w:p>
    <w:p>
      <w:pPr>
        <w:spacing w:after="40" w:before="40" w:line="280"/>
      </w:pPr>
      <w:r>
        <w:rPr>
          <w:i/>
          <w:iCs/>
          <w:color w:val="4A5568"/>
        </w:rPr>
        <w:t xml:space="preserve">SimpleGrid is the straight-talking operator who's been on your factory floor, seen your Excel nightmares, and built the system you wished existed — and backs it up by letting you try it free.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6.2 Three Filters</w:t>
      </w:r>
    </w:p>
    <w:p>
      <w:pPr>
        <w:spacing w:after="40" w:before="40" w:line="280"/>
      </w:pPr>
      <w:r>
        <w:t xml:space="preserve">Every brand decision passes through three filters: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080"/>
        <w:gridCol w:w="3120"/>
      </w:tblGrid>
      <w:tr>
        <w:trPr>
          <w:tblHeader/>
        </w:trPr>
        <w:tc>
          <w:tcPr>
            <w:tcW w:type="dxa" w:w="21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Filter</w:t>
            </w:r>
          </w:p>
        </w:tc>
        <w:tc>
          <w:tcPr>
            <w:tcW w:type="dxa" w:w="40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If the answer is no…</w:t>
            </w:r>
          </w:p>
        </w:tc>
      </w:tr>
      <w:tr>
        <w:tc>
          <w:tcPr>
            <w:tcW w:type="dxa" w:w="21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1. Operator test</w:t>
            </w:r>
          </w:p>
        </w:tc>
        <w:tc>
          <w:tcPr>
            <w:tcW w:type="dxa" w:w="40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Would a plant head in PCMC understand this in 5 seconds?</w:t>
            </w:r>
          </w:p>
        </w:tc>
        <w:tc>
          <w:tcPr>
            <w:tcW w:type="dxa" w:w="31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Rewrite. Simpler words, shorter sentence.</w:t>
            </w:r>
          </w:p>
        </w:tc>
      </w:tr>
      <w:tr>
        <w:tc>
          <w:tcPr>
            <w:tcW w:type="dxa" w:w="21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2. Contrast test</w:t>
            </w:r>
          </w:p>
        </w:tc>
        <w:tc>
          <w:tcPr>
            <w:tcW w:type="dxa" w:w="40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Does this differentiate us from Zoho / Tally / SAP?</w:t>
            </w:r>
          </w:p>
        </w:tc>
        <w:tc>
          <w:tcPr>
            <w:tcW w:type="dxa" w:w="31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Add the contrast. "X, not Y."</w:t>
            </w:r>
          </w:p>
        </w:tc>
      </w:tr>
      <w:tr>
        <w:tc>
          <w:tcPr>
            <w:tcW w:type="dxa" w:w="216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3. Proof test</w:t>
            </w:r>
          </w:p>
        </w:tc>
        <w:tc>
          <w:tcPr>
            <w:tcW w:type="dxa" w:w="40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Is this grounded in something specific and real?</w:t>
            </w:r>
          </w:p>
        </w:tc>
        <w:tc>
          <w:tcPr>
            <w:tcW w:type="dxa" w:w="312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Replace the claim with a fact or example.</w:t>
            </w:r>
          </w:p>
        </w:tc>
      </w:tr>
    </w:tbl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7. Do's and Don'ts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7.1 Visual Do's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Use generous whitespace — let content breathe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Card-based layouts with subtle shadows for information grouping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Consistent icon set (React Icons, Lucide, or Font Awesome)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Colored accent bars (left-side, 4–6px) on cards to categorize content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Real factory/warehouse/operations imagery — authentic, not stock-y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7.2 Visual Don'ts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No gradients on the logo or brand elements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No rounded corners on everything — reserve for cards and buttons only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No neon or bright accent colors as backgrounds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No generic "AI brain" or "glowing neural network" imagery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No clip-art or cartoonish illustration styles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7.3 Naming Rules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Always: </w:t>
      </w:r>
      <w:r>
        <w:t xml:space="preserve">SimpleGrid (one word, two capitals)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With domain: </w:t>
      </w:r>
      <w:r>
        <w:t xml:space="preserve">SimpleGrid.ai or simplegrid.ai (lowercase in URLs)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Never: </w:t>
      </w:r>
      <w:r>
        <w:t xml:space="preserve">Simple Grid, SIMPLEGRID, simpleGrid, SG, S.G.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8. Slide Deck &amp; Presentation Templates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8.1 Slide Design System</w:t>
      </w:r>
    </w:p>
    <w:p>
      <w:pPr>
        <w:spacing w:after="40" w:before="40" w:line="280"/>
      </w:pPr>
      <w:r>
        <w:t xml:space="preserve">"Sandwich" structure: dark title + closing slides framing light content slides.</w:t>
      </w:r>
    </w:p>
    <w:p>
      <w:pPr>
        <w:spacing w:after="40" w:before="120" w:line="280"/>
      </w:pPr>
      <w:r>
        <w:rPr>
          <w:b/>
          <w:bCs/>
        </w:rPr>
        <w:t xml:space="preserve">Title Slide (Dark)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Background: #1A1A1A with subtle blue geometric accents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Logo: White grid icon + white wordmark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Include 2–3 stat callout cards at the bottom</w:t>
      </w:r>
    </w:p>
    <w:p>
      <w:pPr>
        <w:spacing w:after="40" w:before="120" w:line="280"/>
      </w:pPr>
      <w:r>
        <w:rPr>
          <w:b/>
          <w:bCs/>
        </w:rPr>
        <w:t xml:space="preserve">Content Slides (Light)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Background: #FFFFFF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Section tag: Uppercase, blue (#4A7BF7), letter-spaced, top-left corner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Heading: Bold, #1A1A1A, 26pt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Cards: White fill, #E5E8ED border, subtle shadow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Footer: Centered grid icon + "SimpleGrid.ai" + "Strictly Private and Confidential"</w:t>
      </w:r>
    </w:p>
    <w:p>
      <w:pPr>
        <w:spacing w:after="40" w:before="120" w:line="280"/>
      </w:pPr>
      <w:r>
        <w:rPr>
          <w:b/>
          <w:bCs/>
        </w:rPr>
        <w:t xml:space="preserve">Closing Slide (Dark)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Mirrors title slide style. Include contact details and website.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Optional: Full-bleed operations/warehouse photography with semi-transparent overlay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8.2 Slide Footer Standard</w:t>
      </w:r>
    </w:p>
    <w:p>
      <w:pPr>
        <w:spacing w:after="40" w:before="40" w:line="280"/>
      </w:pPr>
      <w:r>
        <w:t xml:space="preserve">Every content slide must include: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Page number (bottom-left)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"Strictly Private and Confidential" (center)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Grid icon + SimpleGrid wordmark (bottom-right)</w:t>
      </w:r>
    </w:p>
    <w:p>
      <w:pPr>
        <w:pStyle w:val="Heading1"/>
        <w:spacing w:after="140" w:before="36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9. Social Media &amp; Marketing Assets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9.1 Platform Guidelines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3840"/>
        <w:gridCol w:w="3840"/>
      </w:tblGrid>
      <w:tr>
        <w:trPr>
          <w:tblHeader/>
        </w:trPr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Avatar / Profile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Content Style</w:t>
            </w:r>
          </w:p>
        </w:tc>
      </w:tr>
      <w:tr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LinkedIn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Grid icon on white. Bio: "AI-native ERP. 7-day deployment. For operators, not accountants."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Founder-led content. Real deployment stories. No stock imagery. Screenshot-heavy.</w:t>
            </w:r>
          </w:p>
        </w:tc>
      </w:tr>
      <w:tr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Twitter / X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Grid icon on white. Handle: @simplegridai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Short, punchy statements. Stats + contrasts. Thread-friendly.</w:t>
            </w:r>
          </w:p>
        </w:tc>
      </w:tr>
      <w:tr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Full logo in header. Grid icon as favicon.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Clean, minimal. White-dominant. Blue accents for CTAs.</w:t>
            </w:r>
          </w:p>
        </w:tc>
      </w:tr>
      <w:tr>
        <w:tc>
          <w:tcPr>
            <w:tcW w:type="dxa" w:w="168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Grid icon in signature. Full logo in header banner.</w:t>
            </w:r>
          </w:p>
        </w:tc>
        <w:tc>
          <w:tcPr>
            <w:tcW w:type="dxa" w:w="3840"/>
            <w:tcBorders>
              <w:top w:val="single" w:color="E5E8ED" w:sz="4"/>
              <w:left w:val="single" w:color="E5E8ED" w:sz="4"/>
              <w:bottom w:val="single" w:color="E5E8ED" w:sz="4"/>
              <w:right w:val="single" w:color="E5E8E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60"/>
            </w:pPr>
            <w:r>
              <w:rPr>
                <w:sz w:val="20"/>
                <w:szCs w:val="20"/>
              </w:rPr>
              <w:t xml:space="preserve">Professional, concise. Always include CTA.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9.2 Photography Direction</w:t>
      </w:r>
    </w:p>
    <w:p>
      <w:pPr>
        <w:spacing w:after="40" w:before="40" w:line="280"/>
      </w:pPr>
      <w:r>
        <w:t xml:space="preserve">Grounded and real — not aspirational tech fantasy.</w:t>
      </w:r>
    </w:p>
    <w:p>
      <w:pPr>
        <w:spacing w:after="40" w:before="80" w:line="280"/>
      </w:pPr>
      <w:r>
        <w:rPr>
          <w:b/>
          <w:bCs/>
        </w:rPr>
        <w:t xml:space="preserve">Use: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Factory floors, warehouses, manufacturing lines, loading docks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Real people working with tablets, phones, or clipboards on-site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Raw materials, inventory shelves, shipping containers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Warm tones, natural light, slightly desaturated editing</w:t>
      </w:r>
    </w:p>
    <w:p>
      <w:pPr>
        <w:spacing w:after="40" w:before="80" w:line="280"/>
      </w:pPr>
      <w:r>
        <w:rPr>
          <w:b/>
          <w:bCs/>
        </w:rPr>
        <w:t xml:space="preserve">Avoid: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Generic office shots, people in suits at laptops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t xml:space="preserve">Abstract tech backgrounds, AI-generated "futuristic" imagery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4A7BF7"/>
          <w:sz w:val="24"/>
          <w:szCs w:val="24"/>
        </w:rPr>
        <w:t xml:space="preserve">9.3 LinkedIn Content Pillars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Build in Public — </w:t>
      </w:r>
      <w:r>
        <w:t xml:space="preserve">Real deployment stories, challenges faced, lessons learned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ERP Industry Critique — </w:t>
      </w:r>
      <w:r>
        <w:t xml:space="preserve">Why traditional ERP fails, backed by stats and real examples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Operator Insights — </w:t>
      </w:r>
      <w:r>
        <w:t xml:space="preserve">Practical observations about how mid-market businesses actually run</w:t>
      </w:r>
    </w:p>
    <w:p>
      <w:pPr>
        <w:pStyle w:val="ListParagraph"/>
        <w:numPr>
          <w:ilvl w:val="0"/>
          <w:numId w:val="2"/>
        </w:numPr>
        <w:spacing w:after="20" w:before="20" w:line="280"/>
      </w:pPr>
      <w:r>
        <w:rPr>
          <w:b/>
          <w:bCs/>
        </w:rPr>
        <w:t xml:space="preserve">Product Deep-Dives — </w:t>
      </w:r>
      <w:r>
        <w:t xml:space="preserve">Schema generation, AI-as-maker concept, specific use cases</w:t>
      </w:r>
    </w:p>
    <w:p>
      <w:pPr>
        <w:spacing w:after="0" w:before="400"/>
        <w:jc w:val="center"/>
      </w:pPr>
      <w:r>
        <w:rPr>
          <w:i/>
          <w:iCs/>
          <w:color w:val="9CA3AF"/>
          <w:sz w:val="18"/>
          <w:szCs w:val="18"/>
        </w:rPr>
        <w:t xml:space="preserve">SimpleGrid Brand Guidelines v1.0  |  March 2026  |  Strictly Private and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6"/>
        <w:szCs w:val="16"/>
      </w:rPr>
      <w:t xml:space="preserve">Strictly Private and Confidential  |  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6"/>
        <w:szCs w:val="16"/>
      </w:rPr>
      <w:t xml:space="preserve">SimpleGrid Brand Guidelines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alibri" w:cs="Calibri" w:eastAsia="Calibri" w:hAnsi="Calibri"/>
      <w:b/>
      <w:bCs/>
      <w:color w:val="4A7BF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2026-04-16T11:06:05.885Z</dcterms:created>
  <dcterms:modified xsi:type="dcterms:W3CDTF">2026-04-16T11:06:05.886Z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