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drawing>
          <wp:inline xmlns:a="http://schemas.openxmlformats.org/drawingml/2006/main" xmlns:pic="http://schemas.openxmlformats.org/drawingml/2006/picture">
            <wp:extent cx="3474720" cy="593781"/>
            <wp:docPr id="1" name="Picture 1"/>
            <wp:cNvGraphicFramePr>
              <a:graphicFrameLocks noChangeAspect="1"/>
            </wp:cNvGraphicFramePr>
            <a:graphic>
              <a:graphicData uri="http://schemas.openxmlformats.org/drawingml/2006/picture">
                <pic:pic>
                  <pic:nvPicPr>
                    <pic:cNvPr id="0" name="aditya_university_logo.png"/>
                    <pic:cNvPicPr/>
                  </pic:nvPicPr>
                  <pic:blipFill>
                    <a:blip r:embed="rId9"/>
                    <a:stretch>
                      <a:fillRect/>
                    </a:stretch>
                  </pic:blipFill>
                  <pic:spPr>
                    <a:xfrm>
                      <a:off x="0" y="0"/>
                      <a:ext cx="3474720" cy="593781"/>
                    </a:xfrm>
                    <a:prstGeom prst="rect"/>
                  </pic:spPr>
                </pic:pic>
              </a:graphicData>
            </a:graphic>
          </wp:inline>
        </w:drawing>
      </w:r>
    </w:p>
    <w:p>
      <w:pPr>
        <w:spacing w:before="200" w:after="40" w:line="276" w:lineRule="auto"/>
        <w:jc w:val="center"/>
      </w:pPr>
      <w:r>
        <w:rPr>
          <w:rFonts w:ascii="Times New Roman" w:hAnsi="Times New Roman"/>
          <w:b/>
          <w:i w:val="0"/>
          <w:color w:val="0B7A75"/>
          <w:sz w:val="28"/>
        </w:rPr>
        <w:t>School of Computing</w:t>
      </w:r>
    </w:p>
    <w:p>
      <w:pPr>
        <w:spacing w:before="0" w:after="480" w:line="276" w:lineRule="auto"/>
        <w:jc w:val="center"/>
      </w:pPr>
      <w:r>
        <w:rPr>
          <w:rFonts w:ascii="Times New Roman" w:hAnsi="Times New Roman"/>
          <w:b/>
          <w:i w:val="0"/>
          <w:color w:val="0B7A75"/>
          <w:sz w:val="24"/>
        </w:rPr>
        <w:t>Department of Artificial Intelligence and Machine Learning</w:t>
      </w:r>
    </w:p>
    <w:p>
      <w:pPr>
        <w:spacing w:before="0" w:after="360" w:line="276" w:lineRule="auto"/>
        <w:jc w:val="center"/>
      </w:pPr>
      <w:r>
        <w:rPr>
          <w:rFonts w:ascii="Times New Roman" w:hAnsi="Times New Roman"/>
          <w:b/>
          <w:i w:val="0"/>
          <w:color w:val="C00000"/>
          <w:sz w:val="32"/>
        </w:rPr>
        <w:t>CERTIFICATE</w:t>
      </w:r>
    </w:p>
    <w:p>
      <w:pPr>
        <w:spacing w:line="276" w:lineRule="auto" w:after="360"/>
        <w:jc w:val="both"/>
      </w:pPr>
      <w:r>
        <w:t xml:space="preserve">This is to certify that the project work entitled </w:t>
      </w:r>
      <w:r>
        <w:rPr>
          <w:b/>
          <w:color w:val="C00000"/>
        </w:rPr>
        <w:t>“LoanGuard-AI: Loan Fraud Detection &amp; Risk Analysis”</w:t>
      </w:r>
      <w:r>
        <w:t xml:space="preserve"> is submitted by</w:t>
      </w:r>
    </w:p>
    <w:tbl>
      <w:tblPr>
        <w:tblW w:type="auto" w:w="0"/>
        <w:jc w:val="center"/>
        <w:tblLook w:firstColumn="1" w:firstRow="1" w:lastColumn="0" w:lastRow="0" w:noHBand="0" w:noVBand="1" w:val="04A0"/>
        <w:tblBorders>
          <w:top w:val="none" w:sz="4" w:space="0" w:color="CCCCCC"/>
          <w:bottom w:val="none" w:sz="4" w:space="0" w:color="CCCCCC"/>
          <w:insideH w:val="none" w:sz="4" w:space="0" w:color="CCCCCC"/>
          <w:insideV w:val="none" w:sz="4" w:space="0" w:color="CCCCCC"/>
          <w:left w:val="none" w:sz="4" w:space="0" w:color="CCCCCC"/>
          <w:right w:val="none" w:sz="4" w:space="0" w:color="CCCCCC"/>
        </w:tblBorders>
      </w:tblPr>
      <w:tblGrid>
        <w:gridCol w:w="4514"/>
        <w:gridCol w:w="4514"/>
      </w:tblGrid>
      <w:tr>
        <w:tc>
          <w:tcPr>
            <w:tcW w:type="dxa" w:w="4514"/>
            <w:tcMar>
              <w:top w:w="30" w:type="dxa"/>
              <w:bottom w:w="30" w:type="dxa"/>
              <w:left w:w="50" w:type="dxa"/>
              <w:right w:w="50" w:type="dxa"/>
            </w:tcMar>
          </w:tcPr>
          <w:p>
            <w:pPr>
              <w:jc w:val="right"/>
            </w:pPr>
            <w:r>
              <w:rPr>
                <w:b/>
              </w:rPr>
              <w:t>SOUMYADIP SINGHA</w:t>
            </w:r>
          </w:p>
        </w:tc>
        <w:tc>
          <w:tcPr>
            <w:tcW w:type="dxa" w:w="4514"/>
            <w:tcMar>
              <w:top w:w="30" w:type="dxa"/>
              <w:bottom w:w="30" w:type="dxa"/>
              <w:left w:w="50" w:type="dxa"/>
              <w:right w:w="50" w:type="dxa"/>
            </w:tcMar>
          </w:tcPr>
          <w:p>
            <w:pPr>
              <w:jc w:val="left"/>
            </w:pPr>
            <w:r>
              <w:rPr>
                <w:b/>
              </w:rPr>
              <w:t>(24B11AI402)</w:t>
            </w:r>
          </w:p>
        </w:tc>
      </w:tr>
      <w:tr>
        <w:tc>
          <w:tcPr>
            <w:tcW w:type="dxa" w:w="4514"/>
            <w:tcMar>
              <w:top w:w="30" w:type="dxa"/>
              <w:bottom w:w="30" w:type="dxa"/>
              <w:left w:w="50" w:type="dxa"/>
              <w:right w:w="50" w:type="dxa"/>
            </w:tcMar>
          </w:tcPr>
          <w:p>
            <w:pPr>
              <w:jc w:val="right"/>
            </w:pPr>
            <w:r>
              <w:rPr>
                <w:b/>
              </w:rPr>
              <w:t>SUBHANKAR DAS</w:t>
            </w:r>
          </w:p>
        </w:tc>
        <w:tc>
          <w:tcPr>
            <w:tcW w:type="dxa" w:w="4514"/>
            <w:tcMar>
              <w:top w:w="30" w:type="dxa"/>
              <w:bottom w:w="30" w:type="dxa"/>
              <w:left w:w="50" w:type="dxa"/>
              <w:right w:w="50" w:type="dxa"/>
            </w:tcMar>
          </w:tcPr>
          <w:p>
            <w:pPr>
              <w:jc w:val="left"/>
            </w:pPr>
            <w:r>
              <w:rPr>
                <w:b/>
              </w:rPr>
              <w:t>(24B11AI406)</w:t>
            </w:r>
          </w:p>
        </w:tc>
      </w:tr>
      <w:tr>
        <w:tc>
          <w:tcPr>
            <w:tcW w:type="dxa" w:w="4514"/>
            <w:tcMar>
              <w:top w:w="30" w:type="dxa"/>
              <w:bottom w:w="30" w:type="dxa"/>
              <w:left w:w="50" w:type="dxa"/>
              <w:right w:w="50" w:type="dxa"/>
            </w:tcMar>
          </w:tcPr>
          <w:p>
            <w:pPr>
              <w:jc w:val="right"/>
            </w:pPr>
            <w:r>
              <w:rPr>
                <w:b/>
              </w:rPr>
              <w:t>PRITAM SAHOO</w:t>
            </w:r>
          </w:p>
        </w:tc>
        <w:tc>
          <w:tcPr>
            <w:tcW w:type="dxa" w:w="4514"/>
            <w:tcMar>
              <w:top w:w="30" w:type="dxa"/>
              <w:bottom w:w="30" w:type="dxa"/>
              <w:left w:w="50" w:type="dxa"/>
              <w:right w:w="50" w:type="dxa"/>
            </w:tcMar>
          </w:tcPr>
          <w:p>
            <w:pPr>
              <w:jc w:val="left"/>
            </w:pPr>
            <w:r>
              <w:rPr>
                <w:b/>
              </w:rPr>
              <w:t>(24B11AI358)</w:t>
            </w:r>
          </w:p>
        </w:tc>
      </w:tr>
      <w:tr>
        <w:tc>
          <w:tcPr>
            <w:tcW w:type="dxa" w:w="4514"/>
            <w:tcMar>
              <w:top w:w="30" w:type="dxa"/>
              <w:bottom w:w="30" w:type="dxa"/>
              <w:left w:w="50" w:type="dxa"/>
              <w:right w:w="50" w:type="dxa"/>
            </w:tcMar>
          </w:tcPr>
          <w:p>
            <w:pPr>
              <w:jc w:val="right"/>
            </w:pPr>
            <w:r>
              <w:rPr>
                <w:b/>
              </w:rPr>
              <w:t>RISHAV SINGH</w:t>
            </w:r>
          </w:p>
        </w:tc>
        <w:tc>
          <w:tcPr>
            <w:tcW w:type="dxa" w:w="4514"/>
            <w:tcMar>
              <w:top w:w="30" w:type="dxa"/>
              <w:bottom w:w="30" w:type="dxa"/>
              <w:left w:w="50" w:type="dxa"/>
              <w:right w:w="50" w:type="dxa"/>
            </w:tcMar>
          </w:tcPr>
          <w:p>
            <w:pPr>
              <w:jc w:val="left"/>
            </w:pPr>
            <w:r>
              <w:rPr>
                <w:b/>
              </w:rPr>
              <w:t>(24B11AI369)</w:t>
            </w:r>
          </w:p>
        </w:tc>
      </w:tr>
    </w:tbl>
    <w:p>
      <w:pPr>
        <w:spacing w:after="280"/>
      </w:pPr>
    </w:p>
    <w:p>
      <w:pPr>
        <w:spacing w:before="0" w:after="900" w:line="276" w:lineRule="auto"/>
        <w:jc w:val="both"/>
      </w:pPr>
      <w:r>
        <w:rPr>
          <w:rFonts w:ascii="Times New Roman" w:hAnsi="Times New Roman"/>
          <w:b w:val="0"/>
          <w:i w:val="0"/>
          <w:sz w:val="24"/>
        </w:rPr>
        <w:t>in partial fulfillment of the requirements for the award of the B.Tech. degree in Artificial Intelligence and Machine Learning for the academic year 2024-2028.</w:t>
      </w:r>
    </w:p>
    <w:tbl>
      <w:tblPr>
        <w:tblW w:type="auto" w:w="0"/>
        <w:jc w:val="center"/>
        <w:tblLayout w:type="fixed"/>
        <w:tblLook w:firstColumn="1" w:firstRow="1" w:lastColumn="0" w:lastRow="0" w:noHBand="0" w:noVBand="1" w:val="04A0"/>
        <w:tblBorders>
          <w:top w:val="none" w:sz="4" w:space="0" w:color="CCCCCC"/>
          <w:bottom w:val="none" w:sz="4" w:space="0" w:color="CCCCCC"/>
          <w:insideH w:val="none" w:sz="4" w:space="0" w:color="CCCCCC"/>
          <w:insideV w:val="none" w:sz="4" w:space="0" w:color="CCCCCC"/>
          <w:left w:val="none" w:sz="4" w:space="0" w:color="CCCCCC"/>
          <w:right w:val="none" w:sz="4" w:space="0" w:color="CCCCCC"/>
        </w:tblBorders>
      </w:tblPr>
      <w:tblGrid>
        <w:gridCol w:w="6480"/>
        <w:gridCol w:w="2549"/>
      </w:tblGrid>
      <w:tr>
        <w:tc>
          <w:tcPr>
            <w:tcW w:type="dxa" w:w="6480"/>
          </w:tcPr>
          <w:p>
            <w:r>
              <w:rPr>
                <w:b/>
                <w:color w:val="C00000"/>
              </w:rPr>
              <w:t>Project Guide</w:t>
              <w:br/>
            </w:r>
            <w:r>
              <w:rPr>
                <w:b/>
              </w:rPr>
              <w:t>Dr. R. Suneetha,</w:t>
              <w:br/>
            </w:r>
            <w:r>
              <w:t>Assistant Professor,</w:t>
              <w:br/>
              <w:t>AIML</w:t>
            </w:r>
          </w:p>
        </w:tc>
        <w:tc>
          <w:tcPr>
            <w:tcW w:type="dxa" w:w="2549"/>
          </w:tcPr>
          <w:p>
            <w:pPr>
              <w:jc w:val="left"/>
            </w:pPr>
            <w:r>
              <w:rPr>
                <w:b/>
                <w:color w:val="C00000"/>
              </w:rPr>
              <w:t>Head of the Department</w:t>
              <w:br/>
            </w:r>
            <w:r>
              <w:rPr>
                <w:b/>
              </w:rPr>
              <w:t>Dr. K. Naga Bhargavi,</w:t>
              <w:br/>
            </w:r>
            <w:r>
              <w:t>Associate Professor,</w:t>
              <w:br/>
              <w:t>AIML</w:t>
            </w:r>
          </w:p>
        </w:tc>
      </w:tr>
    </w:tbl>
    <w:p>
      <w:r>
        <w:br w:type="page"/>
      </w:r>
    </w:p>
    <w:p>
      <w:pPr>
        <w:spacing w:before="200" w:after="360" w:line="276" w:lineRule="auto"/>
        <w:jc w:val="center"/>
      </w:pPr>
      <w:r>
        <w:rPr>
          <w:rFonts w:ascii="Times New Roman" w:hAnsi="Times New Roman"/>
          <w:b/>
          <w:i w:val="0"/>
          <w:sz w:val="28"/>
        </w:rPr>
        <w:t>DECLARATION</w:t>
      </w:r>
    </w:p>
    <w:p>
      <w:pPr>
        <w:spacing w:before="0" w:after="560" w:line="276" w:lineRule="auto"/>
        <w:jc w:val="both"/>
      </w:pPr>
      <w:r>
        <w:rPr>
          <w:rFonts w:ascii="Times New Roman" w:hAnsi="Times New Roman"/>
          <w:b w:val="0"/>
          <w:i w:val="0"/>
          <w:sz w:val="24"/>
        </w:rPr>
        <w:t>We hereby declare that the Cornerstone project entitled “LoanGuard-AI: Loan Fraud Detection &amp; Risk Analysis” is original and is submitted to ADITYA UNIVERSITY, Surampalem, in partial fulfillment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pPr>
        <w:spacing w:before="0" w:after="500" w:line="276" w:lineRule="auto"/>
        <w:jc w:val="both"/>
      </w:pPr>
      <w:r>
        <w:rPr>
          <w:rFonts w:ascii="Times New Roman" w:hAnsi="Times New Roman"/>
          <w:b w:val="0"/>
          <w:i w:val="0"/>
          <w:sz w:val="24"/>
        </w:rPr>
        <w:t>Place: Surampalem</w:t>
        <w:br/>
        <w:t>Date: 11-10-2026</w:t>
      </w:r>
    </w:p>
    <w:p>
      <w:pPr>
        <w:jc w:val="right"/>
      </w:pPr>
      <w:r>
        <w:t>By</w:t>
        <w:br/>
      </w:r>
      <w:r>
        <w:rPr>
          <w:b/>
        </w:rPr>
        <w:t>SOUMYADIP SINGHA (24B11AI402)</w:t>
        <w:br/>
      </w:r>
      <w:r>
        <w:rPr>
          <w:b/>
        </w:rPr>
        <w:t>SUBHANKAR DAS (24B11AI406)</w:t>
        <w:br/>
      </w:r>
      <w:r>
        <w:rPr>
          <w:b/>
        </w:rPr>
        <w:t>PRITAM SAHOO (24B11AI358)</w:t>
        <w:br/>
      </w:r>
      <w:r>
        <w:rPr>
          <w:b/>
        </w:rPr>
        <w:t>RISHAV SINGH (24B11AI369)</w:t>
        <w:br/>
      </w:r>
    </w:p>
    <w:p>
      <w:r>
        <w:br w:type="page"/>
      </w:r>
    </w:p>
    <w:p>
      <w:pPr>
        <w:spacing w:before="200" w:after="320" w:line="276" w:lineRule="auto"/>
        <w:jc w:val="center"/>
      </w:pPr>
      <w:r>
        <w:rPr>
          <w:rFonts w:ascii="Times New Roman" w:hAnsi="Times New Roman"/>
          <w:b/>
          <w:i w:val="0"/>
          <w:sz w:val="28"/>
        </w:rPr>
        <w:t>ACKNOWLEDGEMENT</w:t>
      </w:r>
    </w:p>
    <w:p>
      <w:pPr>
        <w:spacing w:before="0" w:after="160" w:line="276" w:lineRule="auto"/>
        <w:jc w:val="both"/>
      </w:pPr>
      <w:r>
        <w:rPr>
          <w:rFonts w:ascii="Times New Roman" w:hAnsi="Times New Roman"/>
          <w:b w:val="0"/>
          <w:i w:val="0"/>
          <w:sz w:val="24"/>
        </w:rPr>
        <w:t>It is with immense pleasure that we express our sincere gratitude to our Cornerstone Project Guide, Dr. R. Suneetha, Assistant Professor, who has guided us throughout the project. The valuable support, encouragement, and guidance received have greatly contributed to the successful completion of this work.</w:t>
      </w:r>
    </w:p>
    <w:p>
      <w:pPr>
        <w:spacing w:before="0" w:after="160" w:line="276" w:lineRule="auto"/>
        <w:jc w:val="both"/>
      </w:pPr>
      <w:r>
        <w:rPr>
          <w:rFonts w:ascii="Times New Roman" w:hAnsi="Times New Roman"/>
          <w:b w:val="0"/>
          <w:i w:val="0"/>
          <w:sz w:val="24"/>
        </w:rPr>
        <w:t>We would like to thank our Deputy Heads of the Department, Dr. R. Suneetha, Assistant Professor, Dr. B. Manikyala Rao, Assistant Professor and Dr. D. Veeraswamy, Assistant Professor, Department of AIML, for their support and valuable suggestions.</w:t>
      </w:r>
    </w:p>
    <w:p>
      <w:pPr>
        <w:spacing w:before="0" w:after="160" w:line="276" w:lineRule="auto"/>
        <w:jc w:val="both"/>
      </w:pPr>
      <w:r>
        <w:rPr>
          <w:rFonts w:ascii="Times New Roman" w:hAnsi="Times New Roman"/>
          <w:b w:val="0"/>
          <w:i w:val="0"/>
          <w:sz w:val="24"/>
        </w:rPr>
        <w:t>Our deepest thanks to our Head of the Department Dr. K. Naga Bhargavi, Associate Professor, for the inspiration and for providing all the necessary facilities and resources required for this project.</w:t>
      </w:r>
    </w:p>
    <w:p>
      <w:pPr>
        <w:spacing w:before="0" w:after="160" w:line="276" w:lineRule="auto"/>
        <w:jc w:val="both"/>
      </w:pPr>
      <w:r>
        <w:rPr>
          <w:rFonts w:ascii="Times New Roman" w:hAnsi="Times New Roman"/>
          <w:b w:val="0"/>
          <w:i w:val="0"/>
          <w:sz w:val="24"/>
        </w:rPr>
        <w:t>We also extend our sincere thanks to Dr. M.V. Rajesh, Dean-SOC, for their encouragement and support during the course of our project.</w:t>
      </w:r>
    </w:p>
    <w:p>
      <w:pPr>
        <w:spacing w:before="0" w:after="160" w:line="276" w:lineRule="auto"/>
        <w:jc w:val="both"/>
      </w:pPr>
      <w:r>
        <w:rPr>
          <w:rFonts w:ascii="Times New Roman" w:hAnsi="Times New Roman"/>
          <w:b w:val="0"/>
          <w:i w:val="0"/>
          <w:sz w:val="24"/>
        </w:rPr>
        <w:t>We would like to express our sincere gratitude to Dr. G. Suresh, Registrar, Dr. A. Ramesh, Pro Vice-Chancellor (Engineering &amp; Sciences), Dr. S. Rama Sree, Pro Vice-Chancellor (Academics), Dr. M.B. Srinivas, Vice-Chancellor, Dr. M. Sreenivasa Reddy, Deputy Pro Chancellor and Management, Aditya University for providing excellent infrastructure and state-of-the-art laboratories.</w:t>
      </w:r>
    </w:p>
    <w:p>
      <w:pPr>
        <w:spacing w:before="0" w:after="160" w:line="276" w:lineRule="auto"/>
        <w:jc w:val="both"/>
      </w:pPr>
      <w:r>
        <w:rPr>
          <w:rFonts w:ascii="Times New Roman" w:hAnsi="Times New Roman"/>
          <w:b w:val="0"/>
          <w:i w:val="0"/>
          <w:sz w:val="24"/>
        </w:rPr>
        <w:t>Finally, we would like to thank the faculty members, lab technicians, non-teaching staff, and our friends who have directly or indirectly supported us in completing this Cornerstone project successfully.</w:t>
      </w:r>
    </w:p>
    <w:p>
      <w:r>
        <w:br w:type="page"/>
      </w:r>
    </w:p>
    <w:p>
      <w:pPr>
        <w:spacing w:before="200" w:after="320" w:line="276" w:lineRule="auto"/>
        <w:jc w:val="center"/>
      </w:pPr>
      <w:r>
        <w:rPr>
          <w:rFonts w:ascii="Times New Roman" w:hAnsi="Times New Roman"/>
          <w:b/>
          <w:i w:val="0"/>
          <w:sz w:val="28"/>
        </w:rPr>
        <w:t>ABSTRACT</w:t>
      </w:r>
    </w:p>
    <w:p>
      <w:pPr>
        <w:spacing w:before="0" w:after="160" w:line="276" w:lineRule="auto"/>
        <w:jc w:val="both"/>
      </w:pPr>
      <w:r>
        <w:rPr>
          <w:rFonts w:ascii="Times New Roman" w:hAnsi="Times New Roman"/>
          <w:b w:val="0"/>
          <w:i w:val="0"/>
          <w:sz w:val="24"/>
        </w:rPr>
        <w:t>In digital retail lending and commercial banking, fraudulent loan applications and severe credit default risks inflict multi-billion dollar charge-offs annually. Early detection of fraudulent applications is critical yet exceptionally challenging due to extreme class imbalance, where fraudulent events represent only a tiny fraction (2.05%) of total submissions. Traditional credit assessment models rely primarily on rigid threshold heuristics that fail to capture multidimensional interactions among financial indicators. This project presents LoanGuard-AI, an explainable machine learning system and decision-support architecture for automated loan fraud risk detection and underwriting analytics.</w:t>
      </w:r>
    </w:p>
    <w:p>
      <w:pPr>
        <w:spacing w:before="0" w:after="160" w:line="276" w:lineRule="auto"/>
        <w:jc w:val="both"/>
      </w:pPr>
      <w:r>
        <w:rPr>
          <w:rFonts w:ascii="Times New Roman" w:hAnsi="Times New Roman"/>
          <w:b w:val="0"/>
          <w:i w:val="0"/>
          <w:sz w:val="24"/>
        </w:rPr>
        <w:t>The system ingests and preprocesses a benchmark financial dataset of 50,000 loan applications containing four core financial attributes: loan amount requested, monthly income, credit/CIBIL score, and debt-to-income (DTI) ratio. Data validation and cleaning pipelines remove corrupted records and verify plausible economic ranges. To overcome severe class imbalance without introducing synthetic data leakage, the classification engine implements a class-weighted Logistic Regression model utilizing inverse class frequency weighting. Evaluated on a stratified 20% holdout test partition (10,000 records), the model achieves an overall Accuracy of 51.81%, Balanced Accuracy of 48.89%, Fraud Recall of 45.85%, Specificity of 51.93%, and Precision of 1.96%, yielding a net financial fraud mitigation savings of $2,583,800 across intercepted default exposures.</w:t>
      </w:r>
    </w:p>
    <w:p>
      <w:pPr>
        <w:spacing w:before="0" w:after="280" w:line="276" w:lineRule="auto"/>
        <w:jc w:val="both"/>
      </w:pPr>
      <w:r>
        <w:rPr>
          <w:rFonts w:ascii="Times New Roman" w:hAnsi="Times New Roman"/>
          <w:b w:val="0"/>
          <w:i w:val="0"/>
          <w:sz w:val="24"/>
        </w:rPr>
        <w:t>Decision threshold optimization (0.10 to 0.90) provides tunable sensitivity cutoffs, and transparent underwriting decision logic breaks down risk drivers into plain-English factor attributions. The production-ready system is deployed via an interactive Streamlit web application providing real-time risk scores (0%–100%), risk tier classifications, and actionable credit factor insights for underwriting professionals.</w:t>
      </w:r>
    </w:p>
    <w:p>
      <w:pPr>
        <w:spacing w:before="0" w:after="120" w:line="276" w:lineRule="auto"/>
        <w:jc w:val="both"/>
      </w:pPr>
      <w:r>
        <w:rPr>
          <w:rFonts w:ascii="Times New Roman" w:hAnsi="Times New Roman"/>
          <w:b w:val="0"/>
          <w:i w:val="0"/>
          <w:sz w:val="24"/>
        </w:rPr>
        <w:t>Keywords: Machine Learning, Loan Fraud Detection, Financial Risk Assessment, Imbalanced Classification, Logistic Regression, Cost-Sensitive Learning, Underwriting Analytics, Streamlit</w:t>
      </w:r>
    </w:p>
    <w:p>
      <w:r>
        <w:br w:type="page"/>
      </w:r>
    </w:p>
    <w:p>
      <w:pPr>
        <w:spacing w:before="200" w:after="240" w:line="276" w:lineRule="auto"/>
        <w:jc w:val="center"/>
      </w:pPr>
      <w:r>
        <w:rPr>
          <w:rFonts w:ascii="Times New Roman" w:hAnsi="Times New Roman"/>
          <w:b/>
          <w:i w:val="0"/>
          <w:sz w:val="28"/>
        </w:rPr>
        <w:t>LIST OF CONTENTS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3010"/>
        <w:gridCol w:w="3010"/>
        <w:gridCol w:w="3010"/>
      </w:tblGrid>
      <w:tr>
        <w:tc>
          <w:tcPr>
            <w:tcW w:type="dxa" w:w="864"/>
            <w:shd w:fill="F5F5F5"/>
            <w:tcMar>
              <w:top w:w="25" w:type="dxa"/>
              <w:bottom w:w="25" w:type="dxa"/>
              <w:left w:w="40" w:type="dxa"/>
              <w:right w:w="40" w:type="dxa"/>
            </w:tcMar>
          </w:tcPr>
          <w:p>
            <w:pPr>
              <w:spacing w:before="20" w:after="20" w:line="240" w:lineRule="auto"/>
              <w:jc w:val="center"/>
            </w:pPr>
            <w:r>
              <w:rPr>
                <w:b/>
              </w:rPr>
              <w:t>S. No.</w:t>
            </w:r>
          </w:p>
        </w:tc>
        <w:tc>
          <w:tcPr>
            <w:tcW w:type="dxa" w:w="6768"/>
            <w:shd w:fill="F5F5F5"/>
            <w:tcMar>
              <w:top w:w="25" w:type="dxa"/>
              <w:bottom w:w="25" w:type="dxa"/>
              <w:left w:w="40" w:type="dxa"/>
              <w:right w:w="40" w:type="dxa"/>
            </w:tcMar>
          </w:tcPr>
          <w:p>
            <w:pPr>
              <w:spacing w:before="20" w:after="20" w:line="240" w:lineRule="auto"/>
              <w:jc w:val="left"/>
            </w:pPr>
            <w:r>
              <w:rPr>
                <w:b/>
              </w:rPr>
              <w:t>CONTENT</w:t>
            </w:r>
          </w:p>
        </w:tc>
        <w:tc>
          <w:tcPr>
            <w:tcW w:type="dxa" w:w="1296"/>
            <w:shd w:fill="F5F5F5"/>
            <w:tcMar>
              <w:top w:w="25" w:type="dxa"/>
              <w:bottom w:w="25" w:type="dxa"/>
              <w:left w:w="40" w:type="dxa"/>
              <w:right w:w="40" w:type="dxa"/>
            </w:tcMar>
          </w:tcPr>
          <w:p>
            <w:pPr>
              <w:spacing w:before="20" w:after="20" w:line="240" w:lineRule="auto"/>
              <w:jc w:val="center"/>
            </w:pPr>
            <w:r>
              <w:rPr>
                <w:b/>
              </w:rPr>
              <w:t>PAGE NO.</w:t>
            </w:r>
          </w:p>
        </w:tc>
      </w:tr>
      <w:tr>
        <w:tc>
          <w:tcPr>
            <w:tcW w:type="dxa" w:w="864"/>
            <w:tcMar>
              <w:top w:w="25" w:type="dxa"/>
              <w:bottom w:w="25" w:type="dxa"/>
              <w:left w:w="40" w:type="dxa"/>
              <w:right w:w="40" w:type="dxa"/>
            </w:tcMar>
          </w:tcPr>
          <w:p>
            <w:pPr>
              <w:spacing w:before="20" w:after="20" w:line="240" w:lineRule="auto"/>
              <w:jc w:val="center"/>
            </w:pPr>
            <w:r/>
          </w:p>
        </w:tc>
        <w:tc>
          <w:tcPr>
            <w:tcW w:type="dxa" w:w="6768"/>
            <w:tcMar>
              <w:top w:w="25" w:type="dxa"/>
              <w:bottom w:w="25" w:type="dxa"/>
              <w:left w:w="40" w:type="dxa"/>
              <w:right w:w="40" w:type="dxa"/>
            </w:tcMar>
          </w:tcPr>
          <w:p>
            <w:pPr>
              <w:spacing w:before="20" w:after="20" w:line="240" w:lineRule="auto"/>
              <w:jc w:val="left"/>
            </w:pPr>
            <w:r>
              <w:t>LIST OF FIGURES</w:t>
            </w:r>
          </w:p>
        </w:tc>
        <w:tc>
          <w:tcPr>
            <w:tcW w:type="dxa" w:w="1296"/>
            <w:tcMar>
              <w:top w:w="25" w:type="dxa"/>
              <w:bottom w:w="25" w:type="dxa"/>
              <w:left w:w="40" w:type="dxa"/>
              <w:right w:w="40" w:type="dxa"/>
            </w:tcMar>
          </w:tcPr>
          <w:p>
            <w:pPr>
              <w:spacing w:before="20" w:after="20" w:line="240" w:lineRule="auto"/>
              <w:jc w:val="center"/>
            </w:pPr>
            <w:r>
              <w:t>i</w:t>
            </w:r>
          </w:p>
        </w:tc>
      </w:tr>
      <w:tr>
        <w:tc>
          <w:tcPr>
            <w:tcW w:type="dxa" w:w="864"/>
            <w:tcMar>
              <w:top w:w="25" w:type="dxa"/>
              <w:bottom w:w="25" w:type="dxa"/>
              <w:left w:w="40" w:type="dxa"/>
              <w:right w:w="40" w:type="dxa"/>
            </w:tcMar>
          </w:tcPr>
          <w:p>
            <w:pPr>
              <w:spacing w:before="20" w:after="20" w:line="240" w:lineRule="auto"/>
              <w:jc w:val="center"/>
            </w:pPr>
            <w:r>
              <w:t>1</w:t>
            </w:r>
          </w:p>
        </w:tc>
        <w:tc>
          <w:tcPr>
            <w:tcW w:type="dxa" w:w="6768"/>
            <w:tcMar>
              <w:top w:w="25" w:type="dxa"/>
              <w:bottom w:w="25" w:type="dxa"/>
              <w:left w:w="40" w:type="dxa"/>
              <w:right w:w="40" w:type="dxa"/>
            </w:tcMar>
          </w:tcPr>
          <w:p>
            <w:pPr>
              <w:spacing w:before="20" w:after="20" w:line="240" w:lineRule="auto"/>
              <w:jc w:val="left"/>
            </w:pPr>
            <w:r>
              <w:t>Chapter 1: Introduction</w:t>
            </w:r>
          </w:p>
        </w:tc>
        <w:tc>
          <w:tcPr>
            <w:tcW w:type="dxa" w:w="1296"/>
            <w:tcMar>
              <w:top w:w="25" w:type="dxa"/>
              <w:bottom w:w="25" w:type="dxa"/>
              <w:left w:w="40" w:type="dxa"/>
              <w:right w:w="40" w:type="dxa"/>
            </w:tcMar>
          </w:tcPr>
          <w:p>
            <w:pPr>
              <w:spacing w:before="20" w:after="20" w:line="240" w:lineRule="auto"/>
              <w:jc w:val="center"/>
            </w:pPr>
            <w:r>
              <w:t>1</w:t>
            </w:r>
          </w:p>
        </w:tc>
      </w:tr>
      <w:tr>
        <w:tc>
          <w:tcPr>
            <w:tcW w:type="dxa" w:w="864"/>
            <w:tcMar>
              <w:top w:w="25" w:type="dxa"/>
              <w:bottom w:w="25" w:type="dxa"/>
              <w:left w:w="40" w:type="dxa"/>
              <w:right w:w="40" w:type="dxa"/>
            </w:tcMar>
          </w:tcPr>
          <w:p>
            <w:pPr>
              <w:spacing w:before="20" w:after="20" w:line="240" w:lineRule="auto"/>
              <w:jc w:val="center"/>
            </w:pPr>
            <w:r>
              <w:t>1.1</w:t>
            </w:r>
          </w:p>
        </w:tc>
        <w:tc>
          <w:tcPr>
            <w:tcW w:type="dxa" w:w="6768"/>
            <w:tcMar>
              <w:top w:w="25" w:type="dxa"/>
              <w:bottom w:w="25" w:type="dxa"/>
              <w:left w:w="40" w:type="dxa"/>
              <w:right w:w="40" w:type="dxa"/>
            </w:tcMar>
          </w:tcPr>
          <w:p>
            <w:pPr>
              <w:spacing w:before="20" w:after="20" w:line="240" w:lineRule="auto"/>
              <w:jc w:val="left"/>
            </w:pPr>
            <w:r>
              <w:t>Introduction</w:t>
            </w:r>
          </w:p>
        </w:tc>
        <w:tc>
          <w:tcPr>
            <w:tcW w:type="dxa" w:w="1296"/>
            <w:tcMar>
              <w:top w:w="25" w:type="dxa"/>
              <w:bottom w:w="25" w:type="dxa"/>
              <w:left w:w="40" w:type="dxa"/>
              <w:right w:w="40" w:type="dxa"/>
            </w:tcMar>
          </w:tcPr>
          <w:p>
            <w:pPr>
              <w:spacing w:before="20" w:after="20" w:line="240" w:lineRule="auto"/>
              <w:jc w:val="center"/>
            </w:pPr>
            <w:r>
              <w:t>1</w:t>
            </w:r>
          </w:p>
        </w:tc>
      </w:tr>
      <w:tr>
        <w:tc>
          <w:tcPr>
            <w:tcW w:type="dxa" w:w="864"/>
            <w:tcMar>
              <w:top w:w="25" w:type="dxa"/>
              <w:bottom w:w="25" w:type="dxa"/>
              <w:left w:w="40" w:type="dxa"/>
              <w:right w:w="40" w:type="dxa"/>
            </w:tcMar>
          </w:tcPr>
          <w:p>
            <w:pPr>
              <w:spacing w:before="20" w:after="20" w:line="240" w:lineRule="auto"/>
              <w:jc w:val="center"/>
            </w:pPr>
            <w:r>
              <w:t>1.2</w:t>
            </w:r>
          </w:p>
        </w:tc>
        <w:tc>
          <w:tcPr>
            <w:tcW w:type="dxa" w:w="6768"/>
            <w:tcMar>
              <w:top w:w="25" w:type="dxa"/>
              <w:bottom w:w="25" w:type="dxa"/>
              <w:left w:w="40" w:type="dxa"/>
              <w:right w:w="40" w:type="dxa"/>
            </w:tcMar>
          </w:tcPr>
          <w:p>
            <w:pPr>
              <w:spacing w:before="20" w:after="20" w:line="240" w:lineRule="auto"/>
              <w:jc w:val="left"/>
            </w:pPr>
            <w:r>
              <w:t>Problem Statement</w:t>
            </w:r>
          </w:p>
        </w:tc>
        <w:tc>
          <w:tcPr>
            <w:tcW w:type="dxa" w:w="1296"/>
            <w:tcMar>
              <w:top w:w="25" w:type="dxa"/>
              <w:bottom w:w="25" w:type="dxa"/>
              <w:left w:w="40" w:type="dxa"/>
              <w:right w:w="40" w:type="dxa"/>
            </w:tcMar>
          </w:tcPr>
          <w:p>
            <w:pPr>
              <w:spacing w:before="20" w:after="20" w:line="240" w:lineRule="auto"/>
              <w:jc w:val="center"/>
            </w:pPr>
            <w:r>
              <w:t>1</w:t>
            </w:r>
          </w:p>
        </w:tc>
      </w:tr>
      <w:tr>
        <w:tc>
          <w:tcPr>
            <w:tcW w:type="dxa" w:w="864"/>
            <w:tcMar>
              <w:top w:w="25" w:type="dxa"/>
              <w:bottom w:w="25" w:type="dxa"/>
              <w:left w:w="40" w:type="dxa"/>
              <w:right w:w="40" w:type="dxa"/>
            </w:tcMar>
          </w:tcPr>
          <w:p>
            <w:pPr>
              <w:spacing w:before="20" w:after="20" w:line="240" w:lineRule="auto"/>
              <w:jc w:val="center"/>
            </w:pPr>
            <w:r>
              <w:t>1.3</w:t>
            </w:r>
          </w:p>
        </w:tc>
        <w:tc>
          <w:tcPr>
            <w:tcW w:type="dxa" w:w="6768"/>
            <w:tcMar>
              <w:top w:w="25" w:type="dxa"/>
              <w:bottom w:w="25" w:type="dxa"/>
              <w:left w:w="40" w:type="dxa"/>
              <w:right w:w="40" w:type="dxa"/>
            </w:tcMar>
          </w:tcPr>
          <w:p>
            <w:pPr>
              <w:spacing w:before="20" w:after="20" w:line="240" w:lineRule="auto"/>
              <w:jc w:val="left"/>
            </w:pPr>
            <w:r>
              <w:t>Objectives of the Project</w:t>
            </w:r>
          </w:p>
        </w:tc>
        <w:tc>
          <w:tcPr>
            <w:tcW w:type="dxa" w:w="1296"/>
            <w:tcMar>
              <w:top w:w="25" w:type="dxa"/>
              <w:bottom w:w="25" w:type="dxa"/>
              <w:left w:w="40" w:type="dxa"/>
              <w:right w:w="40" w:type="dxa"/>
            </w:tcMar>
          </w:tcPr>
          <w:p>
            <w:pPr>
              <w:spacing w:before="20" w:after="20" w:line="240" w:lineRule="auto"/>
              <w:jc w:val="center"/>
            </w:pPr>
            <w:r>
              <w:t>2</w:t>
            </w:r>
          </w:p>
        </w:tc>
      </w:tr>
      <w:tr>
        <w:tc>
          <w:tcPr>
            <w:tcW w:type="dxa" w:w="864"/>
            <w:tcMar>
              <w:top w:w="25" w:type="dxa"/>
              <w:bottom w:w="25" w:type="dxa"/>
              <w:left w:w="40" w:type="dxa"/>
              <w:right w:w="40" w:type="dxa"/>
            </w:tcMar>
          </w:tcPr>
          <w:p>
            <w:pPr>
              <w:spacing w:before="20" w:after="20" w:line="240" w:lineRule="auto"/>
              <w:jc w:val="center"/>
            </w:pPr>
            <w:r>
              <w:t>1.4</w:t>
            </w:r>
          </w:p>
        </w:tc>
        <w:tc>
          <w:tcPr>
            <w:tcW w:type="dxa" w:w="6768"/>
            <w:tcMar>
              <w:top w:w="25" w:type="dxa"/>
              <w:bottom w:w="25" w:type="dxa"/>
              <w:left w:w="40" w:type="dxa"/>
              <w:right w:w="40" w:type="dxa"/>
            </w:tcMar>
          </w:tcPr>
          <w:p>
            <w:pPr>
              <w:spacing w:before="20" w:after="20" w:line="240" w:lineRule="auto"/>
              <w:jc w:val="left"/>
            </w:pPr>
            <w:r>
              <w:t>Scope of the Project</w:t>
            </w:r>
          </w:p>
        </w:tc>
        <w:tc>
          <w:tcPr>
            <w:tcW w:type="dxa" w:w="1296"/>
            <w:tcMar>
              <w:top w:w="25" w:type="dxa"/>
              <w:bottom w:w="25" w:type="dxa"/>
              <w:left w:w="40" w:type="dxa"/>
              <w:right w:w="40" w:type="dxa"/>
            </w:tcMar>
          </w:tcPr>
          <w:p>
            <w:pPr>
              <w:spacing w:before="20" w:after="20" w:line="240" w:lineRule="auto"/>
              <w:jc w:val="center"/>
            </w:pPr>
            <w:r>
              <w:t>2</w:t>
            </w:r>
          </w:p>
        </w:tc>
      </w:tr>
      <w:tr>
        <w:tc>
          <w:tcPr>
            <w:tcW w:type="dxa" w:w="864"/>
            <w:tcMar>
              <w:top w:w="25" w:type="dxa"/>
              <w:bottom w:w="25" w:type="dxa"/>
              <w:left w:w="40" w:type="dxa"/>
              <w:right w:w="40" w:type="dxa"/>
            </w:tcMar>
          </w:tcPr>
          <w:p>
            <w:pPr>
              <w:spacing w:before="20" w:after="20" w:line="240" w:lineRule="auto"/>
              <w:jc w:val="center"/>
            </w:pPr>
            <w:r>
              <w:t>2</w:t>
            </w:r>
          </w:p>
        </w:tc>
        <w:tc>
          <w:tcPr>
            <w:tcW w:type="dxa" w:w="6768"/>
            <w:tcMar>
              <w:top w:w="25" w:type="dxa"/>
              <w:bottom w:w="25" w:type="dxa"/>
              <w:left w:w="40" w:type="dxa"/>
              <w:right w:w="40" w:type="dxa"/>
            </w:tcMar>
          </w:tcPr>
          <w:p>
            <w:pPr>
              <w:spacing w:before="20" w:after="20" w:line="240" w:lineRule="auto"/>
              <w:jc w:val="left"/>
            </w:pPr>
            <w:r>
              <w:t>Chapter 2: System Overview</w:t>
            </w:r>
          </w:p>
        </w:tc>
        <w:tc>
          <w:tcPr>
            <w:tcW w:type="dxa" w:w="1296"/>
            <w:tcMar>
              <w:top w:w="25" w:type="dxa"/>
              <w:bottom w:w="25" w:type="dxa"/>
              <w:left w:w="40" w:type="dxa"/>
              <w:right w:w="40" w:type="dxa"/>
            </w:tcMar>
          </w:tcPr>
          <w:p>
            <w:pPr>
              <w:spacing w:before="20" w:after="20" w:line="240" w:lineRule="auto"/>
              <w:jc w:val="center"/>
            </w:pPr>
            <w:r>
              <w:t>3</w:t>
            </w:r>
          </w:p>
        </w:tc>
      </w:tr>
      <w:tr>
        <w:tc>
          <w:tcPr>
            <w:tcW w:type="dxa" w:w="864"/>
            <w:tcMar>
              <w:top w:w="25" w:type="dxa"/>
              <w:bottom w:w="25" w:type="dxa"/>
              <w:left w:w="40" w:type="dxa"/>
              <w:right w:w="40" w:type="dxa"/>
            </w:tcMar>
          </w:tcPr>
          <w:p>
            <w:pPr>
              <w:spacing w:before="20" w:after="20" w:line="240" w:lineRule="auto"/>
              <w:jc w:val="center"/>
            </w:pPr>
            <w:r>
              <w:t>2.1</w:t>
            </w:r>
          </w:p>
        </w:tc>
        <w:tc>
          <w:tcPr>
            <w:tcW w:type="dxa" w:w="6768"/>
            <w:tcMar>
              <w:top w:w="25" w:type="dxa"/>
              <w:bottom w:w="25" w:type="dxa"/>
              <w:left w:w="40" w:type="dxa"/>
              <w:right w:w="40" w:type="dxa"/>
            </w:tcMar>
          </w:tcPr>
          <w:p>
            <w:pPr>
              <w:spacing w:before="20" w:after="20" w:line="240" w:lineRule="auto"/>
              <w:jc w:val="left"/>
            </w:pPr>
            <w:r>
              <w:t>Existing System</w:t>
            </w:r>
          </w:p>
        </w:tc>
        <w:tc>
          <w:tcPr>
            <w:tcW w:type="dxa" w:w="1296"/>
            <w:tcMar>
              <w:top w:w="25" w:type="dxa"/>
              <w:bottom w:w="25" w:type="dxa"/>
              <w:left w:w="40" w:type="dxa"/>
              <w:right w:w="40" w:type="dxa"/>
            </w:tcMar>
          </w:tcPr>
          <w:p>
            <w:pPr>
              <w:spacing w:before="20" w:after="20" w:line="240" w:lineRule="auto"/>
              <w:jc w:val="center"/>
            </w:pPr>
            <w:r>
              <w:t>3</w:t>
            </w:r>
          </w:p>
        </w:tc>
      </w:tr>
      <w:tr>
        <w:tc>
          <w:tcPr>
            <w:tcW w:type="dxa" w:w="864"/>
            <w:tcMar>
              <w:top w:w="25" w:type="dxa"/>
              <w:bottom w:w="25" w:type="dxa"/>
              <w:left w:w="40" w:type="dxa"/>
              <w:right w:w="40" w:type="dxa"/>
            </w:tcMar>
          </w:tcPr>
          <w:p>
            <w:pPr>
              <w:spacing w:before="20" w:after="20" w:line="240" w:lineRule="auto"/>
              <w:jc w:val="center"/>
            </w:pPr>
            <w:r>
              <w:t>2.2</w:t>
            </w:r>
          </w:p>
        </w:tc>
        <w:tc>
          <w:tcPr>
            <w:tcW w:type="dxa" w:w="6768"/>
            <w:tcMar>
              <w:top w:w="25" w:type="dxa"/>
              <w:bottom w:w="25" w:type="dxa"/>
              <w:left w:w="40" w:type="dxa"/>
              <w:right w:w="40" w:type="dxa"/>
            </w:tcMar>
          </w:tcPr>
          <w:p>
            <w:pPr>
              <w:spacing w:before="20" w:after="20" w:line="240" w:lineRule="auto"/>
              <w:jc w:val="left"/>
            </w:pPr>
            <w:r>
              <w:t>Limitations of Existing System</w:t>
            </w:r>
          </w:p>
        </w:tc>
        <w:tc>
          <w:tcPr>
            <w:tcW w:type="dxa" w:w="1296"/>
            <w:tcMar>
              <w:top w:w="25" w:type="dxa"/>
              <w:bottom w:w="25" w:type="dxa"/>
              <w:left w:w="40" w:type="dxa"/>
              <w:right w:w="40" w:type="dxa"/>
            </w:tcMar>
          </w:tcPr>
          <w:p>
            <w:pPr>
              <w:spacing w:before="20" w:after="20" w:line="240" w:lineRule="auto"/>
              <w:jc w:val="center"/>
            </w:pPr>
            <w:r>
              <w:t>3</w:t>
            </w:r>
          </w:p>
        </w:tc>
      </w:tr>
      <w:tr>
        <w:tc>
          <w:tcPr>
            <w:tcW w:type="dxa" w:w="864"/>
            <w:tcMar>
              <w:top w:w="25" w:type="dxa"/>
              <w:bottom w:w="25" w:type="dxa"/>
              <w:left w:w="40" w:type="dxa"/>
              <w:right w:w="40" w:type="dxa"/>
            </w:tcMar>
          </w:tcPr>
          <w:p>
            <w:pPr>
              <w:spacing w:before="20" w:after="20" w:line="240" w:lineRule="auto"/>
              <w:jc w:val="center"/>
            </w:pPr>
            <w:r>
              <w:t>2.3</w:t>
            </w:r>
          </w:p>
        </w:tc>
        <w:tc>
          <w:tcPr>
            <w:tcW w:type="dxa" w:w="6768"/>
            <w:tcMar>
              <w:top w:w="25" w:type="dxa"/>
              <w:bottom w:w="25" w:type="dxa"/>
              <w:left w:w="40" w:type="dxa"/>
              <w:right w:w="40" w:type="dxa"/>
            </w:tcMar>
          </w:tcPr>
          <w:p>
            <w:pPr>
              <w:spacing w:before="20" w:after="20" w:line="240" w:lineRule="auto"/>
              <w:jc w:val="left"/>
            </w:pPr>
            <w:r>
              <w:t>Proposed System</w:t>
            </w:r>
          </w:p>
        </w:tc>
        <w:tc>
          <w:tcPr>
            <w:tcW w:type="dxa" w:w="1296"/>
            <w:tcMar>
              <w:top w:w="25" w:type="dxa"/>
              <w:bottom w:w="25" w:type="dxa"/>
              <w:left w:w="40" w:type="dxa"/>
              <w:right w:w="40" w:type="dxa"/>
            </w:tcMar>
          </w:tcPr>
          <w:p>
            <w:pPr>
              <w:spacing w:before="20" w:after="20" w:line="240" w:lineRule="auto"/>
              <w:jc w:val="center"/>
            </w:pPr>
            <w:r>
              <w:t>3</w:t>
            </w:r>
          </w:p>
        </w:tc>
      </w:tr>
      <w:tr>
        <w:tc>
          <w:tcPr>
            <w:tcW w:type="dxa" w:w="864"/>
            <w:tcMar>
              <w:top w:w="25" w:type="dxa"/>
              <w:bottom w:w="25" w:type="dxa"/>
              <w:left w:w="40" w:type="dxa"/>
              <w:right w:w="40" w:type="dxa"/>
            </w:tcMar>
          </w:tcPr>
          <w:p>
            <w:pPr>
              <w:spacing w:before="20" w:after="20" w:line="240" w:lineRule="auto"/>
              <w:jc w:val="center"/>
            </w:pPr>
            <w:r>
              <w:t>2.4</w:t>
            </w:r>
          </w:p>
        </w:tc>
        <w:tc>
          <w:tcPr>
            <w:tcW w:type="dxa" w:w="6768"/>
            <w:tcMar>
              <w:top w:w="25" w:type="dxa"/>
              <w:bottom w:w="25" w:type="dxa"/>
              <w:left w:w="40" w:type="dxa"/>
              <w:right w:w="40" w:type="dxa"/>
            </w:tcMar>
          </w:tcPr>
          <w:p>
            <w:pPr>
              <w:spacing w:before="20" w:after="20" w:line="240" w:lineRule="auto"/>
              <w:jc w:val="left"/>
            </w:pPr>
            <w:r>
              <w:t>Software Requirements</w:t>
            </w:r>
          </w:p>
        </w:tc>
        <w:tc>
          <w:tcPr>
            <w:tcW w:type="dxa" w:w="1296"/>
            <w:tcMar>
              <w:top w:w="25" w:type="dxa"/>
              <w:bottom w:w="25" w:type="dxa"/>
              <w:left w:w="40" w:type="dxa"/>
              <w:right w:w="40" w:type="dxa"/>
            </w:tcMar>
          </w:tcPr>
          <w:p>
            <w:pPr>
              <w:spacing w:before="20" w:after="20" w:line="240" w:lineRule="auto"/>
              <w:jc w:val="center"/>
            </w:pPr>
            <w:r>
              <w:t>4</w:t>
            </w:r>
          </w:p>
        </w:tc>
      </w:tr>
      <w:tr>
        <w:tc>
          <w:tcPr>
            <w:tcW w:type="dxa" w:w="864"/>
            <w:tcMar>
              <w:top w:w="25" w:type="dxa"/>
              <w:bottom w:w="25" w:type="dxa"/>
              <w:left w:w="40" w:type="dxa"/>
              <w:right w:w="40" w:type="dxa"/>
            </w:tcMar>
          </w:tcPr>
          <w:p>
            <w:pPr>
              <w:spacing w:before="20" w:after="20" w:line="240" w:lineRule="auto"/>
              <w:jc w:val="center"/>
            </w:pPr>
            <w:r>
              <w:t>2.5</w:t>
            </w:r>
          </w:p>
        </w:tc>
        <w:tc>
          <w:tcPr>
            <w:tcW w:type="dxa" w:w="6768"/>
            <w:tcMar>
              <w:top w:w="25" w:type="dxa"/>
              <w:bottom w:w="25" w:type="dxa"/>
              <w:left w:w="40" w:type="dxa"/>
              <w:right w:w="40" w:type="dxa"/>
            </w:tcMar>
          </w:tcPr>
          <w:p>
            <w:pPr>
              <w:spacing w:before="20" w:after="20" w:line="240" w:lineRule="auto"/>
              <w:jc w:val="left"/>
            </w:pPr>
            <w:r>
              <w:t>Hardware Requirements</w:t>
            </w:r>
          </w:p>
        </w:tc>
        <w:tc>
          <w:tcPr>
            <w:tcW w:type="dxa" w:w="1296"/>
            <w:tcMar>
              <w:top w:w="25" w:type="dxa"/>
              <w:bottom w:w="25" w:type="dxa"/>
              <w:left w:w="40" w:type="dxa"/>
              <w:right w:w="40" w:type="dxa"/>
            </w:tcMar>
          </w:tcPr>
          <w:p>
            <w:pPr>
              <w:spacing w:before="20" w:after="20" w:line="240" w:lineRule="auto"/>
              <w:jc w:val="center"/>
            </w:pPr>
            <w:r>
              <w:t>4</w:t>
            </w:r>
          </w:p>
        </w:tc>
      </w:tr>
      <w:tr>
        <w:tc>
          <w:tcPr>
            <w:tcW w:type="dxa" w:w="864"/>
            <w:tcMar>
              <w:top w:w="25" w:type="dxa"/>
              <w:bottom w:w="25" w:type="dxa"/>
              <w:left w:w="40" w:type="dxa"/>
              <w:right w:w="40" w:type="dxa"/>
            </w:tcMar>
          </w:tcPr>
          <w:p>
            <w:pPr>
              <w:spacing w:before="20" w:after="20" w:line="240" w:lineRule="auto"/>
              <w:jc w:val="center"/>
            </w:pPr>
            <w:r>
              <w:t>3</w:t>
            </w:r>
          </w:p>
        </w:tc>
        <w:tc>
          <w:tcPr>
            <w:tcW w:type="dxa" w:w="6768"/>
            <w:tcMar>
              <w:top w:w="25" w:type="dxa"/>
              <w:bottom w:w="25" w:type="dxa"/>
              <w:left w:w="40" w:type="dxa"/>
              <w:right w:w="40" w:type="dxa"/>
            </w:tcMar>
          </w:tcPr>
          <w:p>
            <w:pPr>
              <w:spacing w:before="20" w:after="20" w:line="240" w:lineRule="auto"/>
              <w:jc w:val="left"/>
            </w:pPr>
            <w:r>
              <w:t>Chapter 3: System Implementation</w:t>
            </w:r>
          </w:p>
        </w:tc>
        <w:tc>
          <w:tcPr>
            <w:tcW w:type="dxa" w:w="1296"/>
            <w:tcMar>
              <w:top w:w="25" w:type="dxa"/>
              <w:bottom w:w="25" w:type="dxa"/>
              <w:left w:w="40" w:type="dxa"/>
              <w:right w:w="40" w:type="dxa"/>
            </w:tcMar>
          </w:tcPr>
          <w:p>
            <w:pPr>
              <w:spacing w:before="20" w:after="20" w:line="240" w:lineRule="auto"/>
              <w:jc w:val="center"/>
            </w:pPr>
            <w:r>
              <w:t>5</w:t>
            </w:r>
          </w:p>
        </w:tc>
      </w:tr>
      <w:tr>
        <w:tc>
          <w:tcPr>
            <w:tcW w:type="dxa" w:w="864"/>
            <w:tcMar>
              <w:top w:w="25" w:type="dxa"/>
              <w:bottom w:w="25" w:type="dxa"/>
              <w:left w:w="40" w:type="dxa"/>
              <w:right w:w="40" w:type="dxa"/>
            </w:tcMar>
          </w:tcPr>
          <w:p>
            <w:pPr>
              <w:spacing w:before="20" w:after="20" w:line="240" w:lineRule="auto"/>
              <w:jc w:val="center"/>
            </w:pPr>
            <w:r>
              <w:t>3.1</w:t>
            </w:r>
          </w:p>
        </w:tc>
        <w:tc>
          <w:tcPr>
            <w:tcW w:type="dxa" w:w="6768"/>
            <w:tcMar>
              <w:top w:w="25" w:type="dxa"/>
              <w:bottom w:w="25" w:type="dxa"/>
              <w:left w:w="40" w:type="dxa"/>
              <w:right w:w="40" w:type="dxa"/>
            </w:tcMar>
          </w:tcPr>
          <w:p>
            <w:pPr>
              <w:spacing w:before="20" w:after="20" w:line="240" w:lineRule="auto"/>
              <w:jc w:val="left"/>
            </w:pPr>
            <w:r>
              <w:t>Overview of Development Tools</w:t>
            </w:r>
          </w:p>
        </w:tc>
        <w:tc>
          <w:tcPr>
            <w:tcW w:type="dxa" w:w="1296"/>
            <w:tcMar>
              <w:top w:w="25" w:type="dxa"/>
              <w:bottom w:w="25" w:type="dxa"/>
              <w:left w:w="40" w:type="dxa"/>
              <w:right w:w="40" w:type="dxa"/>
            </w:tcMar>
          </w:tcPr>
          <w:p>
            <w:pPr>
              <w:spacing w:before="20" w:after="20" w:line="240" w:lineRule="auto"/>
              <w:jc w:val="center"/>
            </w:pPr>
            <w:r>
              <w:t>5</w:t>
            </w:r>
          </w:p>
        </w:tc>
      </w:tr>
      <w:tr>
        <w:tc>
          <w:tcPr>
            <w:tcW w:type="dxa" w:w="864"/>
            <w:tcMar>
              <w:top w:w="25" w:type="dxa"/>
              <w:bottom w:w="25" w:type="dxa"/>
              <w:left w:w="40" w:type="dxa"/>
              <w:right w:w="40" w:type="dxa"/>
            </w:tcMar>
          </w:tcPr>
          <w:p>
            <w:pPr>
              <w:spacing w:before="20" w:after="20" w:line="240" w:lineRule="auto"/>
              <w:jc w:val="center"/>
            </w:pPr>
            <w:r>
              <w:t>3.1.1</w:t>
            </w:r>
          </w:p>
        </w:tc>
        <w:tc>
          <w:tcPr>
            <w:tcW w:type="dxa" w:w="6768"/>
            <w:tcMar>
              <w:top w:w="25" w:type="dxa"/>
              <w:bottom w:w="25" w:type="dxa"/>
              <w:left w:w="40" w:type="dxa"/>
              <w:right w:w="40" w:type="dxa"/>
            </w:tcMar>
          </w:tcPr>
          <w:p>
            <w:pPr>
              <w:spacing w:before="20" w:after="20" w:line="240" w:lineRule="auto"/>
              <w:jc w:val="left"/>
            </w:pPr>
            <w:r>
              <w:t>Development Environment: Python and Visual Studio Code</w:t>
            </w:r>
          </w:p>
        </w:tc>
        <w:tc>
          <w:tcPr>
            <w:tcW w:type="dxa" w:w="1296"/>
            <w:tcMar>
              <w:top w:w="25" w:type="dxa"/>
              <w:bottom w:w="25" w:type="dxa"/>
              <w:left w:w="40" w:type="dxa"/>
              <w:right w:w="40" w:type="dxa"/>
            </w:tcMar>
          </w:tcPr>
          <w:p>
            <w:pPr>
              <w:spacing w:before="20" w:after="20" w:line="240" w:lineRule="auto"/>
              <w:jc w:val="center"/>
            </w:pPr>
            <w:r>
              <w:t>5</w:t>
            </w:r>
          </w:p>
        </w:tc>
      </w:tr>
      <w:tr>
        <w:tc>
          <w:tcPr>
            <w:tcW w:type="dxa" w:w="864"/>
            <w:tcMar>
              <w:top w:w="25" w:type="dxa"/>
              <w:bottom w:w="25" w:type="dxa"/>
              <w:left w:w="40" w:type="dxa"/>
              <w:right w:w="40" w:type="dxa"/>
            </w:tcMar>
          </w:tcPr>
          <w:p>
            <w:pPr>
              <w:spacing w:before="20" w:after="20" w:line="240" w:lineRule="auto"/>
              <w:jc w:val="center"/>
            </w:pPr>
            <w:r>
              <w:t>3.1.2</w:t>
            </w:r>
          </w:p>
        </w:tc>
        <w:tc>
          <w:tcPr>
            <w:tcW w:type="dxa" w:w="6768"/>
            <w:tcMar>
              <w:top w:w="25" w:type="dxa"/>
              <w:bottom w:w="25" w:type="dxa"/>
              <w:left w:w="40" w:type="dxa"/>
              <w:right w:w="40" w:type="dxa"/>
            </w:tcMar>
          </w:tcPr>
          <w:p>
            <w:pPr>
              <w:spacing w:before="20" w:after="20" w:line="240" w:lineRule="auto"/>
              <w:jc w:val="left"/>
            </w:pPr>
            <w:r>
              <w:t>ML Library / Framework: scikit-learn, pandas, numpy and Streamlit</w:t>
            </w:r>
          </w:p>
        </w:tc>
        <w:tc>
          <w:tcPr>
            <w:tcW w:type="dxa" w:w="1296"/>
            <w:tcMar>
              <w:top w:w="25" w:type="dxa"/>
              <w:bottom w:w="25" w:type="dxa"/>
              <w:left w:w="40" w:type="dxa"/>
              <w:right w:w="40" w:type="dxa"/>
            </w:tcMar>
          </w:tcPr>
          <w:p>
            <w:pPr>
              <w:spacing w:before="20" w:after="20" w:line="240" w:lineRule="auto"/>
              <w:jc w:val="center"/>
            </w:pPr>
            <w:r>
              <w:t>5</w:t>
            </w:r>
          </w:p>
        </w:tc>
      </w:tr>
      <w:tr>
        <w:tc>
          <w:tcPr>
            <w:tcW w:type="dxa" w:w="864"/>
            <w:tcMar>
              <w:top w:w="25" w:type="dxa"/>
              <w:bottom w:w="25" w:type="dxa"/>
              <w:left w:w="40" w:type="dxa"/>
              <w:right w:w="40" w:type="dxa"/>
            </w:tcMar>
          </w:tcPr>
          <w:p>
            <w:pPr>
              <w:spacing w:before="20" w:after="20" w:line="240" w:lineRule="auto"/>
              <w:jc w:val="center"/>
            </w:pPr>
            <w:r>
              <w:t>3.2</w:t>
            </w:r>
          </w:p>
        </w:tc>
        <w:tc>
          <w:tcPr>
            <w:tcW w:type="dxa" w:w="6768"/>
            <w:tcMar>
              <w:top w:w="25" w:type="dxa"/>
              <w:bottom w:w="25" w:type="dxa"/>
              <w:left w:w="40" w:type="dxa"/>
              <w:right w:w="40" w:type="dxa"/>
            </w:tcMar>
          </w:tcPr>
          <w:p>
            <w:pPr>
              <w:spacing w:before="20" w:after="20" w:line="240" w:lineRule="auto"/>
              <w:jc w:val="left"/>
            </w:pPr>
            <w:r>
              <w:t>Dataset Description</w:t>
            </w:r>
          </w:p>
        </w:tc>
        <w:tc>
          <w:tcPr>
            <w:tcW w:type="dxa" w:w="1296"/>
            <w:tcMar>
              <w:top w:w="25" w:type="dxa"/>
              <w:bottom w:w="25" w:type="dxa"/>
              <w:left w:w="40" w:type="dxa"/>
              <w:right w:w="40" w:type="dxa"/>
            </w:tcMar>
          </w:tcPr>
          <w:p>
            <w:pPr>
              <w:spacing w:before="20" w:after="20" w:line="240" w:lineRule="auto"/>
              <w:jc w:val="center"/>
            </w:pPr>
            <w:r>
              <w:t>6</w:t>
            </w:r>
          </w:p>
        </w:tc>
      </w:tr>
      <w:tr>
        <w:tc>
          <w:tcPr>
            <w:tcW w:type="dxa" w:w="864"/>
            <w:tcMar>
              <w:top w:w="25" w:type="dxa"/>
              <w:bottom w:w="25" w:type="dxa"/>
              <w:left w:w="40" w:type="dxa"/>
              <w:right w:w="40" w:type="dxa"/>
            </w:tcMar>
          </w:tcPr>
          <w:p>
            <w:pPr>
              <w:spacing w:before="20" w:after="20" w:line="240" w:lineRule="auto"/>
              <w:jc w:val="center"/>
            </w:pPr>
            <w:r>
              <w:t>3.3</w:t>
            </w:r>
          </w:p>
        </w:tc>
        <w:tc>
          <w:tcPr>
            <w:tcW w:type="dxa" w:w="6768"/>
            <w:tcMar>
              <w:top w:w="25" w:type="dxa"/>
              <w:bottom w:w="25" w:type="dxa"/>
              <w:left w:w="40" w:type="dxa"/>
              <w:right w:w="40" w:type="dxa"/>
            </w:tcMar>
          </w:tcPr>
          <w:p>
            <w:pPr>
              <w:spacing w:before="20" w:after="20" w:line="240" w:lineRule="auto"/>
              <w:jc w:val="left"/>
            </w:pPr>
            <w:r>
              <w:t>Implementation Modules</w:t>
            </w:r>
          </w:p>
        </w:tc>
        <w:tc>
          <w:tcPr>
            <w:tcW w:type="dxa" w:w="1296"/>
            <w:tcMar>
              <w:top w:w="25" w:type="dxa"/>
              <w:bottom w:w="25" w:type="dxa"/>
              <w:left w:w="40" w:type="dxa"/>
              <w:right w:w="40" w:type="dxa"/>
            </w:tcMar>
          </w:tcPr>
          <w:p>
            <w:pPr>
              <w:spacing w:before="20" w:after="20" w:line="240" w:lineRule="auto"/>
              <w:jc w:val="center"/>
            </w:pPr>
            <w:r>
              <w:t>7</w:t>
            </w:r>
          </w:p>
        </w:tc>
      </w:tr>
      <w:tr>
        <w:tc>
          <w:tcPr>
            <w:tcW w:type="dxa" w:w="864"/>
            <w:tcMar>
              <w:top w:w="25" w:type="dxa"/>
              <w:bottom w:w="25" w:type="dxa"/>
              <w:left w:w="40" w:type="dxa"/>
              <w:right w:w="40" w:type="dxa"/>
            </w:tcMar>
          </w:tcPr>
          <w:p>
            <w:pPr>
              <w:spacing w:before="20" w:after="20" w:line="240" w:lineRule="auto"/>
              <w:jc w:val="center"/>
            </w:pPr>
            <w:r>
              <w:t>3.3.1</w:t>
            </w:r>
          </w:p>
        </w:tc>
        <w:tc>
          <w:tcPr>
            <w:tcW w:type="dxa" w:w="6768"/>
            <w:tcMar>
              <w:top w:w="25" w:type="dxa"/>
              <w:bottom w:w="25" w:type="dxa"/>
              <w:left w:w="40" w:type="dxa"/>
              <w:right w:w="40" w:type="dxa"/>
            </w:tcMar>
          </w:tcPr>
          <w:p>
            <w:pPr>
              <w:spacing w:before="20" w:after="20" w:line="240" w:lineRule="auto"/>
              <w:jc w:val="left"/>
            </w:pPr>
            <w:r>
              <w:t>Handling Data Inspection and Cleaning (data_cleaning.py)</w:t>
            </w:r>
          </w:p>
        </w:tc>
        <w:tc>
          <w:tcPr>
            <w:tcW w:type="dxa" w:w="1296"/>
            <w:tcMar>
              <w:top w:w="25" w:type="dxa"/>
              <w:bottom w:w="25" w:type="dxa"/>
              <w:left w:w="40" w:type="dxa"/>
              <w:right w:w="40" w:type="dxa"/>
            </w:tcMar>
          </w:tcPr>
          <w:p>
            <w:pPr>
              <w:spacing w:before="20" w:after="20" w:line="240" w:lineRule="auto"/>
              <w:jc w:val="center"/>
            </w:pPr>
            <w:r>
              <w:t>7</w:t>
            </w:r>
          </w:p>
        </w:tc>
      </w:tr>
      <w:tr>
        <w:tc>
          <w:tcPr>
            <w:tcW w:type="dxa" w:w="864"/>
            <w:tcMar>
              <w:top w:w="25" w:type="dxa"/>
              <w:bottom w:w="25" w:type="dxa"/>
              <w:left w:w="40" w:type="dxa"/>
              <w:right w:w="40" w:type="dxa"/>
            </w:tcMar>
          </w:tcPr>
          <w:p>
            <w:pPr>
              <w:spacing w:before="20" w:after="20" w:line="240" w:lineRule="auto"/>
              <w:jc w:val="center"/>
            </w:pPr>
            <w:r>
              <w:t>3.3.2</w:t>
            </w:r>
          </w:p>
        </w:tc>
        <w:tc>
          <w:tcPr>
            <w:tcW w:type="dxa" w:w="6768"/>
            <w:tcMar>
              <w:top w:w="25" w:type="dxa"/>
              <w:bottom w:w="25" w:type="dxa"/>
              <w:left w:w="40" w:type="dxa"/>
              <w:right w:w="40" w:type="dxa"/>
            </w:tcMar>
          </w:tcPr>
          <w:p>
            <w:pPr>
              <w:spacing w:before="20" w:after="20" w:line="240" w:lineRule="auto"/>
              <w:jc w:val="left"/>
            </w:pPr>
            <w:r>
              <w:t>Balanced Model Training and Serialization (train_model.py)</w:t>
            </w:r>
          </w:p>
        </w:tc>
        <w:tc>
          <w:tcPr>
            <w:tcW w:type="dxa" w:w="1296"/>
            <w:tcMar>
              <w:top w:w="25" w:type="dxa"/>
              <w:bottom w:w="25" w:type="dxa"/>
              <w:left w:w="40" w:type="dxa"/>
              <w:right w:w="40" w:type="dxa"/>
            </w:tcMar>
          </w:tcPr>
          <w:p>
            <w:pPr>
              <w:spacing w:before="20" w:after="20" w:line="240" w:lineRule="auto"/>
              <w:jc w:val="center"/>
            </w:pPr>
            <w:r>
              <w:t>7</w:t>
            </w:r>
          </w:p>
        </w:tc>
      </w:tr>
      <w:tr>
        <w:tc>
          <w:tcPr>
            <w:tcW w:type="dxa" w:w="864"/>
            <w:tcMar>
              <w:top w:w="25" w:type="dxa"/>
              <w:bottom w:w="25" w:type="dxa"/>
              <w:left w:w="40" w:type="dxa"/>
              <w:right w:w="40" w:type="dxa"/>
            </w:tcMar>
          </w:tcPr>
          <w:p>
            <w:pPr>
              <w:spacing w:before="20" w:after="20" w:line="240" w:lineRule="auto"/>
              <w:jc w:val="center"/>
            </w:pPr>
            <w:r>
              <w:t>3.3.3</w:t>
            </w:r>
          </w:p>
        </w:tc>
        <w:tc>
          <w:tcPr>
            <w:tcW w:type="dxa" w:w="6768"/>
            <w:tcMar>
              <w:top w:w="25" w:type="dxa"/>
              <w:bottom w:w="25" w:type="dxa"/>
              <w:left w:w="40" w:type="dxa"/>
              <w:right w:w="40" w:type="dxa"/>
            </w:tcMar>
          </w:tcPr>
          <w:p>
            <w:pPr>
              <w:spacing w:before="20" w:after="20" w:line="240" w:lineRule="auto"/>
              <w:jc w:val="left"/>
            </w:pPr>
            <w:r>
              <w:t>Comprehensive Diagnostic Metrics Pipeline (generate_reports.py)</w:t>
            </w:r>
          </w:p>
        </w:tc>
        <w:tc>
          <w:tcPr>
            <w:tcW w:type="dxa" w:w="1296"/>
            <w:tcMar>
              <w:top w:w="25" w:type="dxa"/>
              <w:bottom w:w="25" w:type="dxa"/>
              <w:left w:w="40" w:type="dxa"/>
              <w:right w:w="40" w:type="dxa"/>
            </w:tcMar>
          </w:tcPr>
          <w:p>
            <w:pPr>
              <w:spacing w:before="20" w:after="20" w:line="240" w:lineRule="auto"/>
              <w:jc w:val="center"/>
            </w:pPr>
            <w:r>
              <w:t>8</w:t>
            </w:r>
          </w:p>
        </w:tc>
      </w:tr>
      <w:tr>
        <w:tc>
          <w:tcPr>
            <w:tcW w:type="dxa" w:w="864"/>
            <w:tcMar>
              <w:top w:w="25" w:type="dxa"/>
              <w:bottom w:w="25" w:type="dxa"/>
              <w:left w:w="40" w:type="dxa"/>
              <w:right w:w="40" w:type="dxa"/>
            </w:tcMar>
          </w:tcPr>
          <w:p>
            <w:pPr>
              <w:spacing w:before="20" w:after="20" w:line="240" w:lineRule="auto"/>
              <w:jc w:val="center"/>
            </w:pPr>
            <w:r>
              <w:t>3.3.4</w:t>
            </w:r>
          </w:p>
        </w:tc>
        <w:tc>
          <w:tcPr>
            <w:tcW w:type="dxa" w:w="6768"/>
            <w:tcMar>
              <w:top w:w="25" w:type="dxa"/>
              <w:bottom w:w="25" w:type="dxa"/>
              <w:left w:w="40" w:type="dxa"/>
              <w:right w:w="40" w:type="dxa"/>
            </w:tcMar>
          </w:tcPr>
          <w:p>
            <w:pPr>
              <w:spacing w:before="20" w:after="20" w:line="240" w:lineRule="auto"/>
              <w:jc w:val="left"/>
            </w:pPr>
            <w:r>
              <w:t>Explainable Underwriting Rule Logic (app.py)</w:t>
            </w:r>
          </w:p>
        </w:tc>
        <w:tc>
          <w:tcPr>
            <w:tcW w:type="dxa" w:w="1296"/>
            <w:tcMar>
              <w:top w:w="25" w:type="dxa"/>
              <w:bottom w:w="25" w:type="dxa"/>
              <w:left w:w="40" w:type="dxa"/>
              <w:right w:w="40" w:type="dxa"/>
            </w:tcMar>
          </w:tcPr>
          <w:p>
            <w:pPr>
              <w:spacing w:before="20" w:after="20" w:line="240" w:lineRule="auto"/>
              <w:jc w:val="center"/>
            </w:pPr>
            <w:r>
              <w:t>8</w:t>
            </w:r>
          </w:p>
        </w:tc>
      </w:tr>
      <w:tr>
        <w:tc>
          <w:tcPr>
            <w:tcW w:type="dxa" w:w="864"/>
            <w:tcMar>
              <w:top w:w="25" w:type="dxa"/>
              <w:bottom w:w="25" w:type="dxa"/>
              <w:left w:w="40" w:type="dxa"/>
              <w:right w:w="40" w:type="dxa"/>
            </w:tcMar>
          </w:tcPr>
          <w:p>
            <w:pPr>
              <w:spacing w:before="20" w:after="20" w:line="240" w:lineRule="auto"/>
              <w:jc w:val="center"/>
            </w:pPr>
            <w:r>
              <w:t>3.3.5</w:t>
            </w:r>
          </w:p>
        </w:tc>
        <w:tc>
          <w:tcPr>
            <w:tcW w:type="dxa" w:w="6768"/>
            <w:tcMar>
              <w:top w:w="25" w:type="dxa"/>
              <w:bottom w:w="25" w:type="dxa"/>
              <w:left w:w="40" w:type="dxa"/>
              <w:right w:w="40" w:type="dxa"/>
            </w:tcMar>
          </w:tcPr>
          <w:p>
            <w:pPr>
              <w:spacing w:before="20" w:after="20" w:line="240" w:lineRule="auto"/>
              <w:jc w:val="left"/>
            </w:pPr>
            <w:r>
              <w:t>Real-Time Prediction and Risk Scoring in Streamlit (app.py)</w:t>
            </w:r>
          </w:p>
        </w:tc>
        <w:tc>
          <w:tcPr>
            <w:tcW w:type="dxa" w:w="1296"/>
            <w:tcMar>
              <w:top w:w="25" w:type="dxa"/>
              <w:bottom w:w="25" w:type="dxa"/>
              <w:left w:w="40" w:type="dxa"/>
              <w:right w:w="40" w:type="dxa"/>
            </w:tcMar>
          </w:tcPr>
          <w:p>
            <w:pPr>
              <w:spacing w:before="20" w:after="20" w:line="240" w:lineRule="auto"/>
              <w:jc w:val="center"/>
            </w:pPr>
            <w:r>
              <w:t>8</w:t>
            </w:r>
          </w:p>
        </w:tc>
      </w:tr>
      <w:tr>
        <w:tc>
          <w:tcPr>
            <w:tcW w:type="dxa" w:w="864"/>
            <w:tcMar>
              <w:top w:w="25" w:type="dxa"/>
              <w:bottom w:w="25" w:type="dxa"/>
              <w:left w:w="40" w:type="dxa"/>
              <w:right w:w="40" w:type="dxa"/>
            </w:tcMar>
          </w:tcPr>
          <w:p>
            <w:pPr>
              <w:spacing w:before="20" w:after="20" w:line="240" w:lineRule="auto"/>
              <w:jc w:val="center"/>
            </w:pPr>
            <w:r>
              <w:t>3.4</w:t>
            </w:r>
          </w:p>
        </w:tc>
        <w:tc>
          <w:tcPr>
            <w:tcW w:type="dxa" w:w="6768"/>
            <w:tcMar>
              <w:top w:w="25" w:type="dxa"/>
              <w:bottom w:w="25" w:type="dxa"/>
              <w:left w:w="40" w:type="dxa"/>
              <w:right w:w="40" w:type="dxa"/>
            </w:tcMar>
          </w:tcPr>
          <w:p>
            <w:pPr>
              <w:spacing w:before="20" w:after="20" w:line="240" w:lineRule="auto"/>
              <w:jc w:val="left"/>
            </w:pPr>
            <w:r>
              <w:t>Steps to Run the Project</w:t>
            </w:r>
          </w:p>
        </w:tc>
        <w:tc>
          <w:tcPr>
            <w:tcW w:type="dxa" w:w="1296"/>
            <w:tcMar>
              <w:top w:w="25" w:type="dxa"/>
              <w:bottom w:w="25" w:type="dxa"/>
              <w:left w:w="40" w:type="dxa"/>
              <w:right w:w="40" w:type="dxa"/>
            </w:tcMar>
          </w:tcPr>
          <w:p>
            <w:pPr>
              <w:spacing w:before="20" w:after="20" w:line="240" w:lineRule="auto"/>
              <w:jc w:val="center"/>
            </w:pPr>
            <w:r>
              <w:t>8</w:t>
            </w:r>
          </w:p>
        </w:tc>
      </w:tr>
      <w:tr>
        <w:tc>
          <w:tcPr>
            <w:tcW w:type="dxa" w:w="864"/>
            <w:tcMar>
              <w:top w:w="25" w:type="dxa"/>
              <w:bottom w:w="25" w:type="dxa"/>
              <w:left w:w="40" w:type="dxa"/>
              <w:right w:w="40" w:type="dxa"/>
            </w:tcMar>
          </w:tcPr>
          <w:p>
            <w:pPr>
              <w:spacing w:before="20" w:after="20" w:line="240" w:lineRule="auto"/>
              <w:jc w:val="center"/>
            </w:pPr>
            <w:r>
              <w:t>4</w:t>
            </w:r>
          </w:p>
        </w:tc>
        <w:tc>
          <w:tcPr>
            <w:tcW w:type="dxa" w:w="6768"/>
            <w:tcMar>
              <w:top w:w="25" w:type="dxa"/>
              <w:bottom w:w="25" w:type="dxa"/>
              <w:left w:w="40" w:type="dxa"/>
              <w:right w:w="40" w:type="dxa"/>
            </w:tcMar>
          </w:tcPr>
          <w:p>
            <w:pPr>
              <w:spacing w:before="20" w:after="20" w:line="240" w:lineRule="auto"/>
              <w:jc w:val="left"/>
            </w:pPr>
            <w:r>
              <w:t>Chapter 4: System Architecture</w:t>
            </w:r>
          </w:p>
        </w:tc>
        <w:tc>
          <w:tcPr>
            <w:tcW w:type="dxa" w:w="1296"/>
            <w:tcMar>
              <w:top w:w="25" w:type="dxa"/>
              <w:bottom w:w="25" w:type="dxa"/>
              <w:left w:w="40" w:type="dxa"/>
              <w:right w:w="40" w:type="dxa"/>
            </w:tcMar>
          </w:tcPr>
          <w:p>
            <w:pPr>
              <w:spacing w:before="20" w:after="20" w:line="240" w:lineRule="auto"/>
              <w:jc w:val="center"/>
            </w:pPr>
            <w:r>
              <w:t>9</w:t>
            </w:r>
          </w:p>
        </w:tc>
      </w:tr>
      <w:tr>
        <w:tc>
          <w:tcPr>
            <w:tcW w:type="dxa" w:w="864"/>
            <w:tcMar>
              <w:top w:w="25" w:type="dxa"/>
              <w:bottom w:w="25" w:type="dxa"/>
              <w:left w:w="40" w:type="dxa"/>
              <w:right w:w="40" w:type="dxa"/>
            </w:tcMar>
          </w:tcPr>
          <w:p>
            <w:pPr>
              <w:spacing w:before="20" w:after="20" w:line="240" w:lineRule="auto"/>
              <w:jc w:val="center"/>
            </w:pPr>
            <w:r>
              <w:t>5</w:t>
            </w:r>
          </w:p>
        </w:tc>
        <w:tc>
          <w:tcPr>
            <w:tcW w:type="dxa" w:w="6768"/>
            <w:tcMar>
              <w:top w:w="25" w:type="dxa"/>
              <w:bottom w:w="25" w:type="dxa"/>
              <w:left w:w="40" w:type="dxa"/>
              <w:right w:w="40" w:type="dxa"/>
            </w:tcMar>
          </w:tcPr>
          <w:p>
            <w:pPr>
              <w:spacing w:before="20" w:after="20" w:line="240" w:lineRule="auto"/>
              <w:jc w:val="left"/>
            </w:pPr>
            <w:r>
              <w:t>Chapter 5: Data Preprocessing</w:t>
            </w:r>
          </w:p>
        </w:tc>
        <w:tc>
          <w:tcPr>
            <w:tcW w:type="dxa" w:w="1296"/>
            <w:tcMar>
              <w:top w:w="25" w:type="dxa"/>
              <w:bottom w:w="25" w:type="dxa"/>
              <w:left w:w="40" w:type="dxa"/>
              <w:right w:w="40" w:type="dxa"/>
            </w:tcMar>
          </w:tcPr>
          <w:p>
            <w:pPr>
              <w:spacing w:before="20" w:after="20" w:line="240" w:lineRule="auto"/>
              <w:jc w:val="center"/>
            </w:pPr>
            <w:r>
              <w:t>11</w:t>
            </w:r>
          </w:p>
        </w:tc>
      </w:tr>
      <w:tr>
        <w:tc>
          <w:tcPr>
            <w:tcW w:type="dxa" w:w="864"/>
            <w:tcMar>
              <w:top w:w="25" w:type="dxa"/>
              <w:bottom w:w="25" w:type="dxa"/>
              <w:left w:w="40" w:type="dxa"/>
              <w:right w:w="40" w:type="dxa"/>
            </w:tcMar>
          </w:tcPr>
          <w:p>
            <w:pPr>
              <w:spacing w:before="20" w:after="20" w:line="240" w:lineRule="auto"/>
              <w:jc w:val="center"/>
            </w:pPr>
            <w:r>
              <w:t>5.1</w:t>
            </w:r>
          </w:p>
        </w:tc>
        <w:tc>
          <w:tcPr>
            <w:tcW w:type="dxa" w:w="6768"/>
            <w:tcMar>
              <w:top w:w="25" w:type="dxa"/>
              <w:bottom w:w="25" w:type="dxa"/>
              <w:left w:w="40" w:type="dxa"/>
              <w:right w:w="40" w:type="dxa"/>
            </w:tcMar>
          </w:tcPr>
          <w:p>
            <w:pPr>
              <w:spacing w:before="20" w:after="20" w:line="240" w:lineRule="auto"/>
              <w:jc w:val="left"/>
            </w:pPr>
            <w:r>
              <w:t>Introduction</w:t>
            </w:r>
          </w:p>
        </w:tc>
        <w:tc>
          <w:tcPr>
            <w:tcW w:type="dxa" w:w="1296"/>
            <w:tcMar>
              <w:top w:w="25" w:type="dxa"/>
              <w:bottom w:w="25" w:type="dxa"/>
              <w:left w:w="40" w:type="dxa"/>
              <w:right w:w="40" w:type="dxa"/>
            </w:tcMar>
          </w:tcPr>
          <w:p>
            <w:pPr>
              <w:spacing w:before="20" w:after="20" w:line="240" w:lineRule="auto"/>
              <w:jc w:val="center"/>
            </w:pPr>
            <w:r>
              <w:t>11</w:t>
            </w:r>
          </w:p>
        </w:tc>
      </w:tr>
      <w:tr>
        <w:tc>
          <w:tcPr>
            <w:tcW w:type="dxa" w:w="864"/>
            <w:tcMar>
              <w:top w:w="25" w:type="dxa"/>
              <w:bottom w:w="25" w:type="dxa"/>
              <w:left w:w="40" w:type="dxa"/>
              <w:right w:w="40" w:type="dxa"/>
            </w:tcMar>
          </w:tcPr>
          <w:p>
            <w:pPr>
              <w:spacing w:before="20" w:after="20" w:line="240" w:lineRule="auto"/>
              <w:jc w:val="center"/>
            </w:pPr>
            <w:r>
              <w:t>5.2</w:t>
            </w:r>
          </w:p>
        </w:tc>
        <w:tc>
          <w:tcPr>
            <w:tcW w:type="dxa" w:w="6768"/>
            <w:tcMar>
              <w:top w:w="25" w:type="dxa"/>
              <w:bottom w:w="25" w:type="dxa"/>
              <w:left w:w="40" w:type="dxa"/>
              <w:right w:w="40" w:type="dxa"/>
            </w:tcMar>
          </w:tcPr>
          <w:p>
            <w:pPr>
              <w:spacing w:before="20" w:after="20" w:line="240" w:lineRule="auto"/>
              <w:jc w:val="left"/>
            </w:pPr>
            <w:r>
              <w:t>Handling Missing Values and Data Integrity</w:t>
            </w:r>
          </w:p>
        </w:tc>
        <w:tc>
          <w:tcPr>
            <w:tcW w:type="dxa" w:w="1296"/>
            <w:tcMar>
              <w:top w:w="25" w:type="dxa"/>
              <w:bottom w:w="25" w:type="dxa"/>
              <w:left w:w="40" w:type="dxa"/>
              <w:right w:w="40" w:type="dxa"/>
            </w:tcMar>
          </w:tcPr>
          <w:p>
            <w:pPr>
              <w:spacing w:before="20" w:after="20" w:line="240" w:lineRule="auto"/>
              <w:jc w:val="center"/>
            </w:pPr>
            <w:r>
              <w:t>11</w:t>
            </w:r>
          </w:p>
        </w:tc>
      </w:tr>
      <w:tr>
        <w:tc>
          <w:tcPr>
            <w:tcW w:type="dxa" w:w="864"/>
            <w:tcMar>
              <w:top w:w="25" w:type="dxa"/>
              <w:bottom w:w="25" w:type="dxa"/>
              <w:left w:w="40" w:type="dxa"/>
              <w:right w:w="40" w:type="dxa"/>
            </w:tcMar>
          </w:tcPr>
          <w:p>
            <w:pPr>
              <w:spacing w:before="20" w:after="20" w:line="240" w:lineRule="auto"/>
              <w:jc w:val="center"/>
            </w:pPr>
            <w:r>
              <w:t>5.3</w:t>
            </w:r>
          </w:p>
        </w:tc>
        <w:tc>
          <w:tcPr>
            <w:tcW w:type="dxa" w:w="6768"/>
            <w:tcMar>
              <w:top w:w="25" w:type="dxa"/>
              <w:bottom w:w="25" w:type="dxa"/>
              <w:left w:w="40" w:type="dxa"/>
              <w:right w:w="40" w:type="dxa"/>
            </w:tcMar>
          </w:tcPr>
          <w:p>
            <w:pPr>
              <w:spacing w:before="20" w:after="20" w:line="240" w:lineRule="auto"/>
              <w:jc w:val="left"/>
            </w:pPr>
            <w:r>
              <w:t>Data Cleaning and Target Distribution</w:t>
            </w:r>
          </w:p>
        </w:tc>
        <w:tc>
          <w:tcPr>
            <w:tcW w:type="dxa" w:w="1296"/>
            <w:tcMar>
              <w:top w:w="25" w:type="dxa"/>
              <w:bottom w:w="25" w:type="dxa"/>
              <w:left w:w="40" w:type="dxa"/>
              <w:right w:w="40" w:type="dxa"/>
            </w:tcMar>
          </w:tcPr>
          <w:p>
            <w:pPr>
              <w:spacing w:before="20" w:after="20" w:line="240" w:lineRule="auto"/>
              <w:jc w:val="center"/>
            </w:pPr>
            <w:r>
              <w:t>12</w:t>
            </w:r>
          </w:p>
        </w:tc>
      </w:tr>
      <w:tr>
        <w:tc>
          <w:tcPr>
            <w:tcW w:type="dxa" w:w="864"/>
            <w:tcMar>
              <w:top w:w="25" w:type="dxa"/>
              <w:bottom w:w="25" w:type="dxa"/>
              <w:left w:w="40" w:type="dxa"/>
              <w:right w:w="40" w:type="dxa"/>
            </w:tcMar>
          </w:tcPr>
          <w:p>
            <w:pPr>
              <w:spacing w:before="20" w:after="20" w:line="240" w:lineRule="auto"/>
              <w:jc w:val="center"/>
            </w:pPr>
            <w:r>
              <w:t>5.4</w:t>
            </w:r>
          </w:p>
        </w:tc>
        <w:tc>
          <w:tcPr>
            <w:tcW w:type="dxa" w:w="6768"/>
            <w:tcMar>
              <w:top w:w="25" w:type="dxa"/>
              <w:bottom w:w="25" w:type="dxa"/>
              <w:left w:w="40" w:type="dxa"/>
              <w:right w:w="40" w:type="dxa"/>
            </w:tcMar>
          </w:tcPr>
          <w:p>
            <w:pPr>
              <w:spacing w:before="20" w:after="20" w:line="240" w:lineRule="auto"/>
              <w:jc w:val="left"/>
            </w:pPr>
            <w:r>
              <w:t>Outlier Detection and Range Validation</w:t>
            </w:r>
          </w:p>
        </w:tc>
        <w:tc>
          <w:tcPr>
            <w:tcW w:type="dxa" w:w="1296"/>
            <w:tcMar>
              <w:top w:w="25" w:type="dxa"/>
              <w:bottom w:w="25" w:type="dxa"/>
              <w:left w:w="40" w:type="dxa"/>
              <w:right w:w="40" w:type="dxa"/>
            </w:tcMar>
          </w:tcPr>
          <w:p>
            <w:pPr>
              <w:spacing w:before="20" w:after="20" w:line="240" w:lineRule="auto"/>
              <w:jc w:val="center"/>
            </w:pPr>
            <w:r>
              <w:t>13</w:t>
            </w:r>
          </w:p>
        </w:tc>
      </w:tr>
      <w:tr>
        <w:tc>
          <w:tcPr>
            <w:tcW w:type="dxa" w:w="864"/>
            <w:tcMar>
              <w:top w:w="25" w:type="dxa"/>
              <w:bottom w:w="25" w:type="dxa"/>
              <w:left w:w="40" w:type="dxa"/>
              <w:right w:w="40" w:type="dxa"/>
            </w:tcMar>
          </w:tcPr>
          <w:p>
            <w:pPr>
              <w:spacing w:before="20" w:after="20" w:line="240" w:lineRule="auto"/>
              <w:jc w:val="center"/>
            </w:pPr>
            <w:r>
              <w:t>5.5</w:t>
            </w:r>
          </w:p>
        </w:tc>
        <w:tc>
          <w:tcPr>
            <w:tcW w:type="dxa" w:w="6768"/>
            <w:tcMar>
              <w:top w:w="25" w:type="dxa"/>
              <w:bottom w:w="25" w:type="dxa"/>
              <w:left w:w="40" w:type="dxa"/>
              <w:right w:w="40" w:type="dxa"/>
            </w:tcMar>
          </w:tcPr>
          <w:p>
            <w:pPr>
              <w:spacing w:before="20" w:after="20" w:line="240" w:lineRule="auto"/>
              <w:jc w:val="left"/>
            </w:pPr>
            <w:r>
              <w:t>Feature Engineering and Variable Properties</w:t>
            </w:r>
          </w:p>
        </w:tc>
        <w:tc>
          <w:tcPr>
            <w:tcW w:type="dxa" w:w="1296"/>
            <w:tcMar>
              <w:top w:w="25" w:type="dxa"/>
              <w:bottom w:w="25" w:type="dxa"/>
              <w:left w:w="40" w:type="dxa"/>
              <w:right w:w="40" w:type="dxa"/>
            </w:tcMar>
          </w:tcPr>
          <w:p>
            <w:pPr>
              <w:spacing w:before="20" w:after="20" w:line="240" w:lineRule="auto"/>
              <w:jc w:val="center"/>
            </w:pPr>
            <w:r>
              <w:t>13</w:t>
            </w:r>
          </w:p>
        </w:tc>
      </w:tr>
      <w:tr>
        <w:tc>
          <w:tcPr>
            <w:tcW w:type="dxa" w:w="864"/>
            <w:tcMar>
              <w:top w:w="25" w:type="dxa"/>
              <w:bottom w:w="25" w:type="dxa"/>
              <w:left w:w="40" w:type="dxa"/>
              <w:right w:w="40" w:type="dxa"/>
            </w:tcMar>
          </w:tcPr>
          <w:p>
            <w:pPr>
              <w:spacing w:before="20" w:after="20" w:line="240" w:lineRule="auto"/>
              <w:jc w:val="center"/>
            </w:pPr>
            <w:r>
              <w:t>5.6</w:t>
            </w:r>
          </w:p>
        </w:tc>
        <w:tc>
          <w:tcPr>
            <w:tcW w:type="dxa" w:w="6768"/>
            <w:tcMar>
              <w:top w:w="25" w:type="dxa"/>
              <w:bottom w:w="25" w:type="dxa"/>
              <w:left w:w="40" w:type="dxa"/>
              <w:right w:w="40" w:type="dxa"/>
            </w:tcMar>
          </w:tcPr>
          <w:p>
            <w:pPr>
              <w:spacing w:before="20" w:after="20" w:line="240" w:lineRule="auto"/>
              <w:jc w:val="left"/>
            </w:pPr>
            <w:r>
              <w:t>Data Visualization</w:t>
            </w:r>
          </w:p>
        </w:tc>
        <w:tc>
          <w:tcPr>
            <w:tcW w:type="dxa" w:w="1296"/>
            <w:tcMar>
              <w:top w:w="25" w:type="dxa"/>
              <w:bottom w:w="25" w:type="dxa"/>
              <w:left w:w="40" w:type="dxa"/>
              <w:right w:w="40" w:type="dxa"/>
            </w:tcMar>
          </w:tcPr>
          <w:p>
            <w:pPr>
              <w:spacing w:before="20" w:after="20" w:line="240" w:lineRule="auto"/>
              <w:jc w:val="center"/>
            </w:pPr>
            <w:r>
              <w:t>14</w:t>
            </w:r>
          </w:p>
        </w:tc>
      </w:tr>
      <w:tr>
        <w:tc>
          <w:tcPr>
            <w:tcW w:type="dxa" w:w="864"/>
            <w:tcMar>
              <w:top w:w="25" w:type="dxa"/>
              <w:bottom w:w="25" w:type="dxa"/>
              <w:left w:w="40" w:type="dxa"/>
              <w:right w:w="40" w:type="dxa"/>
            </w:tcMar>
          </w:tcPr>
          <w:p>
            <w:pPr>
              <w:spacing w:before="20" w:after="20" w:line="240" w:lineRule="auto"/>
              <w:jc w:val="center"/>
            </w:pPr>
            <w:r>
              <w:t>5.7</w:t>
            </w:r>
          </w:p>
        </w:tc>
        <w:tc>
          <w:tcPr>
            <w:tcW w:type="dxa" w:w="6768"/>
            <w:tcMar>
              <w:top w:w="25" w:type="dxa"/>
              <w:bottom w:w="25" w:type="dxa"/>
              <w:left w:w="40" w:type="dxa"/>
              <w:right w:w="40" w:type="dxa"/>
            </w:tcMar>
          </w:tcPr>
          <w:p>
            <w:pPr>
              <w:spacing w:before="20" w:after="20" w:line="240" w:lineRule="auto"/>
              <w:jc w:val="left"/>
            </w:pPr>
            <w:r>
              <w:t>Train-Test Split</w:t>
            </w:r>
          </w:p>
        </w:tc>
        <w:tc>
          <w:tcPr>
            <w:tcW w:type="dxa" w:w="1296"/>
            <w:tcMar>
              <w:top w:w="25" w:type="dxa"/>
              <w:bottom w:w="25" w:type="dxa"/>
              <w:left w:w="40" w:type="dxa"/>
              <w:right w:w="40" w:type="dxa"/>
            </w:tcMar>
          </w:tcPr>
          <w:p>
            <w:pPr>
              <w:spacing w:before="20" w:after="20" w:line="240" w:lineRule="auto"/>
              <w:jc w:val="center"/>
            </w:pPr>
            <w:r>
              <w:t>16</w:t>
            </w:r>
          </w:p>
        </w:tc>
      </w:tr>
      <w:tr>
        <w:tc>
          <w:tcPr>
            <w:tcW w:type="dxa" w:w="864"/>
            <w:tcMar>
              <w:top w:w="25" w:type="dxa"/>
              <w:bottom w:w="25" w:type="dxa"/>
              <w:left w:w="40" w:type="dxa"/>
              <w:right w:w="40" w:type="dxa"/>
            </w:tcMar>
          </w:tcPr>
          <w:p>
            <w:pPr>
              <w:spacing w:before="20" w:after="20" w:line="240" w:lineRule="auto"/>
              <w:jc w:val="center"/>
            </w:pPr>
            <w:r>
              <w:t>5.8</w:t>
            </w:r>
          </w:p>
        </w:tc>
        <w:tc>
          <w:tcPr>
            <w:tcW w:type="dxa" w:w="6768"/>
            <w:tcMar>
              <w:top w:w="25" w:type="dxa"/>
              <w:bottom w:w="25" w:type="dxa"/>
              <w:left w:w="40" w:type="dxa"/>
              <w:right w:w="40" w:type="dxa"/>
            </w:tcMar>
          </w:tcPr>
          <w:p>
            <w:pPr>
              <w:spacing w:before="20" w:after="20" w:line="240" w:lineRule="auto"/>
              <w:jc w:val="left"/>
            </w:pPr>
            <w:r>
              <w:t>Summary</w:t>
            </w:r>
          </w:p>
        </w:tc>
        <w:tc>
          <w:tcPr>
            <w:tcW w:type="dxa" w:w="1296"/>
            <w:tcMar>
              <w:top w:w="25" w:type="dxa"/>
              <w:bottom w:w="25" w:type="dxa"/>
              <w:left w:w="40" w:type="dxa"/>
              <w:right w:w="40" w:type="dxa"/>
            </w:tcMar>
          </w:tcPr>
          <w:p>
            <w:pPr>
              <w:spacing w:before="20" w:after="20" w:line="240" w:lineRule="auto"/>
              <w:jc w:val="center"/>
            </w:pPr>
            <w:r>
              <w:t>17</w:t>
            </w:r>
          </w:p>
        </w:tc>
      </w:tr>
      <w:tr>
        <w:tc>
          <w:tcPr>
            <w:tcW w:type="dxa" w:w="864"/>
            <w:tcMar>
              <w:top w:w="25" w:type="dxa"/>
              <w:bottom w:w="25" w:type="dxa"/>
              <w:left w:w="40" w:type="dxa"/>
              <w:right w:w="40" w:type="dxa"/>
            </w:tcMar>
          </w:tcPr>
          <w:p>
            <w:pPr>
              <w:spacing w:before="20" w:after="20" w:line="240" w:lineRule="auto"/>
              <w:jc w:val="center"/>
            </w:pPr>
            <w:r>
              <w:t>6</w:t>
            </w:r>
          </w:p>
        </w:tc>
        <w:tc>
          <w:tcPr>
            <w:tcW w:type="dxa" w:w="6768"/>
            <w:tcMar>
              <w:top w:w="25" w:type="dxa"/>
              <w:bottom w:w="25" w:type="dxa"/>
              <w:left w:w="40" w:type="dxa"/>
              <w:right w:w="40" w:type="dxa"/>
            </w:tcMar>
          </w:tcPr>
          <w:p>
            <w:pPr>
              <w:spacing w:before="20" w:after="20" w:line="240" w:lineRule="auto"/>
              <w:jc w:val="left"/>
            </w:pPr>
            <w:r>
              <w:t>Chapter 6: Methodology and Algorithms</w:t>
            </w:r>
          </w:p>
        </w:tc>
        <w:tc>
          <w:tcPr>
            <w:tcW w:type="dxa" w:w="1296"/>
            <w:tcMar>
              <w:top w:w="25" w:type="dxa"/>
              <w:bottom w:w="25" w:type="dxa"/>
              <w:left w:w="40" w:type="dxa"/>
              <w:right w:w="40" w:type="dxa"/>
            </w:tcMar>
          </w:tcPr>
          <w:p>
            <w:pPr>
              <w:spacing w:before="20" w:after="20" w:line="240" w:lineRule="auto"/>
              <w:jc w:val="center"/>
            </w:pPr>
            <w:r>
              <w:t>18</w:t>
            </w:r>
          </w:p>
        </w:tc>
      </w:tr>
    </w:tbl>
    <w:p>
      <w:r>
        <w:br w:type="page"/>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3010"/>
        <w:gridCol w:w="3010"/>
        <w:gridCol w:w="3010"/>
      </w:tblGrid>
      <w:tr>
        <w:tc>
          <w:tcPr>
            <w:tcW w:type="dxa" w:w="864"/>
            <w:shd w:fill="F5F5F5"/>
            <w:tcMar>
              <w:top w:w="30" w:type="dxa"/>
              <w:bottom w:w="30" w:type="dxa"/>
              <w:left w:w="40" w:type="dxa"/>
              <w:right w:w="40" w:type="dxa"/>
            </w:tcMar>
          </w:tcPr>
          <w:p>
            <w:pPr>
              <w:spacing w:before="40" w:after="40" w:line="240" w:lineRule="auto"/>
              <w:jc w:val="center"/>
            </w:pPr>
            <w:r>
              <w:rPr>
                <w:b/>
              </w:rPr>
              <w:t>S. No.</w:t>
            </w:r>
          </w:p>
        </w:tc>
        <w:tc>
          <w:tcPr>
            <w:tcW w:type="dxa" w:w="6768"/>
            <w:shd w:fill="F5F5F5"/>
            <w:tcMar>
              <w:top w:w="30" w:type="dxa"/>
              <w:bottom w:w="30" w:type="dxa"/>
              <w:left w:w="40" w:type="dxa"/>
              <w:right w:w="40" w:type="dxa"/>
            </w:tcMar>
          </w:tcPr>
          <w:p>
            <w:pPr>
              <w:spacing w:before="40" w:after="40" w:line="240" w:lineRule="auto"/>
              <w:jc w:val="left"/>
            </w:pPr>
            <w:r>
              <w:rPr>
                <w:b/>
              </w:rPr>
              <w:t>CONTENT</w:t>
            </w:r>
          </w:p>
        </w:tc>
        <w:tc>
          <w:tcPr>
            <w:tcW w:type="dxa" w:w="1296"/>
            <w:shd w:fill="F5F5F5"/>
            <w:tcMar>
              <w:top w:w="30" w:type="dxa"/>
              <w:bottom w:w="30" w:type="dxa"/>
              <w:left w:w="40" w:type="dxa"/>
              <w:right w:w="40" w:type="dxa"/>
            </w:tcMar>
          </w:tcPr>
          <w:p>
            <w:pPr>
              <w:spacing w:before="40" w:after="40" w:line="240" w:lineRule="auto"/>
              <w:jc w:val="center"/>
            </w:pPr>
            <w:r>
              <w:rPr>
                <w:b/>
              </w:rPr>
              <w:t>PAGE NO.</w:t>
            </w:r>
          </w:p>
        </w:tc>
      </w:tr>
      <w:tr>
        <w:tc>
          <w:tcPr>
            <w:tcW w:type="dxa" w:w="864"/>
            <w:tcMar>
              <w:top w:w="30" w:type="dxa"/>
              <w:bottom w:w="30" w:type="dxa"/>
              <w:left w:w="40" w:type="dxa"/>
              <w:right w:w="40" w:type="dxa"/>
            </w:tcMar>
          </w:tcPr>
          <w:p>
            <w:pPr>
              <w:spacing w:before="40" w:after="40" w:line="240" w:lineRule="auto"/>
              <w:jc w:val="center"/>
            </w:pPr>
            <w:r>
              <w:t>6.1</w:t>
            </w:r>
          </w:p>
        </w:tc>
        <w:tc>
          <w:tcPr>
            <w:tcW w:type="dxa" w:w="6768"/>
            <w:tcMar>
              <w:top w:w="30" w:type="dxa"/>
              <w:bottom w:w="30" w:type="dxa"/>
              <w:left w:w="40" w:type="dxa"/>
              <w:right w:w="40" w:type="dxa"/>
            </w:tcMar>
          </w:tcPr>
          <w:p>
            <w:pPr>
              <w:spacing w:before="40" w:after="40" w:line="240" w:lineRule="auto"/>
              <w:jc w:val="left"/>
            </w:pPr>
            <w:r>
              <w:t>Introduction</w:t>
            </w:r>
          </w:p>
        </w:tc>
        <w:tc>
          <w:tcPr>
            <w:tcW w:type="dxa" w:w="1296"/>
            <w:tcMar>
              <w:top w:w="30" w:type="dxa"/>
              <w:bottom w:w="30" w:type="dxa"/>
              <w:left w:w="40" w:type="dxa"/>
              <w:right w:w="40" w:type="dxa"/>
            </w:tcMar>
          </w:tcPr>
          <w:p>
            <w:pPr>
              <w:spacing w:before="40" w:after="40" w:line="240" w:lineRule="auto"/>
              <w:jc w:val="center"/>
            </w:pPr>
            <w:r>
              <w:t>18</w:t>
            </w:r>
          </w:p>
        </w:tc>
      </w:tr>
      <w:tr>
        <w:tc>
          <w:tcPr>
            <w:tcW w:type="dxa" w:w="864"/>
            <w:tcMar>
              <w:top w:w="30" w:type="dxa"/>
              <w:bottom w:w="30" w:type="dxa"/>
              <w:left w:w="40" w:type="dxa"/>
              <w:right w:w="40" w:type="dxa"/>
            </w:tcMar>
          </w:tcPr>
          <w:p>
            <w:pPr>
              <w:spacing w:before="40" w:after="40" w:line="240" w:lineRule="auto"/>
              <w:jc w:val="center"/>
            </w:pPr>
            <w:r>
              <w:t>6.2</w:t>
            </w:r>
          </w:p>
        </w:tc>
        <w:tc>
          <w:tcPr>
            <w:tcW w:type="dxa" w:w="6768"/>
            <w:tcMar>
              <w:top w:w="30" w:type="dxa"/>
              <w:bottom w:w="30" w:type="dxa"/>
              <w:left w:w="40" w:type="dxa"/>
              <w:right w:w="40" w:type="dxa"/>
            </w:tcMar>
          </w:tcPr>
          <w:p>
            <w:pPr>
              <w:spacing w:before="40" w:after="40" w:line="240" w:lineRule="auto"/>
              <w:jc w:val="left"/>
            </w:pPr>
            <w:r>
              <w:t>Classification Techniques</w:t>
            </w:r>
          </w:p>
        </w:tc>
        <w:tc>
          <w:tcPr>
            <w:tcW w:type="dxa" w:w="1296"/>
            <w:tcMar>
              <w:top w:w="30" w:type="dxa"/>
              <w:bottom w:w="30" w:type="dxa"/>
              <w:left w:w="40" w:type="dxa"/>
              <w:right w:w="40" w:type="dxa"/>
            </w:tcMar>
          </w:tcPr>
          <w:p>
            <w:pPr>
              <w:spacing w:before="40" w:after="40" w:line="240" w:lineRule="auto"/>
              <w:jc w:val="center"/>
            </w:pPr>
            <w:r>
              <w:t>18</w:t>
            </w:r>
          </w:p>
        </w:tc>
      </w:tr>
      <w:tr>
        <w:tc>
          <w:tcPr>
            <w:tcW w:type="dxa" w:w="864"/>
            <w:tcMar>
              <w:top w:w="30" w:type="dxa"/>
              <w:bottom w:w="30" w:type="dxa"/>
              <w:left w:w="40" w:type="dxa"/>
              <w:right w:w="40" w:type="dxa"/>
            </w:tcMar>
          </w:tcPr>
          <w:p>
            <w:pPr>
              <w:spacing w:before="40" w:after="40" w:line="240" w:lineRule="auto"/>
              <w:jc w:val="center"/>
            </w:pPr>
            <w:r>
              <w:t>6.2.1</w:t>
            </w:r>
          </w:p>
        </w:tc>
        <w:tc>
          <w:tcPr>
            <w:tcW w:type="dxa" w:w="6768"/>
            <w:tcMar>
              <w:top w:w="30" w:type="dxa"/>
              <w:bottom w:w="30" w:type="dxa"/>
              <w:left w:w="40" w:type="dxa"/>
              <w:right w:w="40" w:type="dxa"/>
            </w:tcMar>
          </w:tcPr>
          <w:p>
            <w:pPr>
              <w:spacing w:before="40" w:after="40" w:line="240" w:lineRule="auto"/>
              <w:jc w:val="left"/>
            </w:pPr>
            <w:r>
              <w:t>Logistic Regression with Balanced Class Weights</w:t>
            </w:r>
          </w:p>
        </w:tc>
        <w:tc>
          <w:tcPr>
            <w:tcW w:type="dxa" w:w="1296"/>
            <w:tcMar>
              <w:top w:w="30" w:type="dxa"/>
              <w:bottom w:w="30" w:type="dxa"/>
              <w:left w:w="40" w:type="dxa"/>
              <w:right w:w="40" w:type="dxa"/>
            </w:tcMar>
          </w:tcPr>
          <w:p>
            <w:pPr>
              <w:spacing w:before="40" w:after="40" w:line="240" w:lineRule="auto"/>
              <w:jc w:val="center"/>
            </w:pPr>
            <w:r>
              <w:t>18</w:t>
            </w:r>
          </w:p>
        </w:tc>
      </w:tr>
      <w:tr>
        <w:tc>
          <w:tcPr>
            <w:tcW w:type="dxa" w:w="864"/>
            <w:tcMar>
              <w:top w:w="30" w:type="dxa"/>
              <w:bottom w:w="30" w:type="dxa"/>
              <w:left w:w="40" w:type="dxa"/>
              <w:right w:w="40" w:type="dxa"/>
            </w:tcMar>
          </w:tcPr>
          <w:p>
            <w:pPr>
              <w:spacing w:before="40" w:after="40" w:line="240" w:lineRule="auto"/>
              <w:jc w:val="center"/>
            </w:pPr>
            <w:r>
              <w:t>6.2.2</w:t>
            </w:r>
          </w:p>
        </w:tc>
        <w:tc>
          <w:tcPr>
            <w:tcW w:type="dxa" w:w="6768"/>
            <w:tcMar>
              <w:top w:w="30" w:type="dxa"/>
              <w:bottom w:w="30" w:type="dxa"/>
              <w:left w:w="40" w:type="dxa"/>
              <w:right w:w="40" w:type="dxa"/>
            </w:tcMar>
          </w:tcPr>
          <w:p>
            <w:pPr>
              <w:spacing w:before="40" w:after="40" w:line="240" w:lineRule="auto"/>
              <w:jc w:val="left"/>
            </w:pPr>
            <w:r>
              <w:t>Threshold Calibration and Probability Modeling</w:t>
            </w:r>
          </w:p>
        </w:tc>
        <w:tc>
          <w:tcPr>
            <w:tcW w:type="dxa" w:w="1296"/>
            <w:tcMar>
              <w:top w:w="30" w:type="dxa"/>
              <w:bottom w:w="30" w:type="dxa"/>
              <w:left w:w="40" w:type="dxa"/>
              <w:right w:w="40" w:type="dxa"/>
            </w:tcMar>
          </w:tcPr>
          <w:p>
            <w:pPr>
              <w:spacing w:before="40" w:after="40" w:line="240" w:lineRule="auto"/>
              <w:jc w:val="center"/>
            </w:pPr>
            <w:r>
              <w:t>19</w:t>
            </w:r>
          </w:p>
        </w:tc>
      </w:tr>
      <w:tr>
        <w:tc>
          <w:tcPr>
            <w:tcW w:type="dxa" w:w="864"/>
            <w:tcMar>
              <w:top w:w="30" w:type="dxa"/>
              <w:bottom w:w="30" w:type="dxa"/>
              <w:left w:w="40" w:type="dxa"/>
              <w:right w:w="40" w:type="dxa"/>
            </w:tcMar>
          </w:tcPr>
          <w:p>
            <w:pPr>
              <w:spacing w:before="40" w:after="40" w:line="240" w:lineRule="auto"/>
              <w:jc w:val="center"/>
            </w:pPr>
            <w:r>
              <w:t>6.2.3</w:t>
            </w:r>
          </w:p>
        </w:tc>
        <w:tc>
          <w:tcPr>
            <w:tcW w:type="dxa" w:w="6768"/>
            <w:tcMar>
              <w:top w:w="30" w:type="dxa"/>
              <w:bottom w:w="30" w:type="dxa"/>
              <w:left w:w="40" w:type="dxa"/>
              <w:right w:w="40" w:type="dxa"/>
            </w:tcMar>
          </w:tcPr>
          <w:p>
            <w:pPr>
              <w:spacing w:before="40" w:after="40" w:line="240" w:lineRule="auto"/>
              <w:jc w:val="left"/>
            </w:pPr>
            <w:r>
              <w:t>Class Weighting vs Resampling for Imbalanced Data</w:t>
            </w:r>
          </w:p>
        </w:tc>
        <w:tc>
          <w:tcPr>
            <w:tcW w:type="dxa" w:w="1296"/>
            <w:tcMar>
              <w:top w:w="30" w:type="dxa"/>
              <w:bottom w:w="30" w:type="dxa"/>
              <w:left w:w="40" w:type="dxa"/>
              <w:right w:w="40" w:type="dxa"/>
            </w:tcMar>
          </w:tcPr>
          <w:p>
            <w:pPr>
              <w:spacing w:before="40" w:after="40" w:line="240" w:lineRule="auto"/>
              <w:jc w:val="center"/>
            </w:pPr>
            <w:r>
              <w:t>19</w:t>
            </w:r>
          </w:p>
        </w:tc>
      </w:tr>
      <w:tr>
        <w:tc>
          <w:tcPr>
            <w:tcW w:type="dxa" w:w="864"/>
            <w:tcMar>
              <w:top w:w="30" w:type="dxa"/>
              <w:bottom w:w="30" w:type="dxa"/>
              <w:left w:w="40" w:type="dxa"/>
              <w:right w:w="40" w:type="dxa"/>
            </w:tcMar>
          </w:tcPr>
          <w:p>
            <w:pPr>
              <w:spacing w:before="40" w:after="40" w:line="240" w:lineRule="auto"/>
              <w:jc w:val="center"/>
            </w:pPr>
            <w:r>
              <w:t>6.3</w:t>
            </w:r>
          </w:p>
        </w:tc>
        <w:tc>
          <w:tcPr>
            <w:tcW w:type="dxa" w:w="6768"/>
            <w:tcMar>
              <w:top w:w="30" w:type="dxa"/>
              <w:bottom w:w="30" w:type="dxa"/>
              <w:left w:w="40" w:type="dxa"/>
              <w:right w:w="40" w:type="dxa"/>
            </w:tcMar>
          </w:tcPr>
          <w:p>
            <w:pPr>
              <w:spacing w:before="40" w:after="40" w:line="240" w:lineRule="auto"/>
              <w:jc w:val="left"/>
            </w:pPr>
            <w:r>
              <w:t>Evaluation Metrics for Severe Class Imbalance</w:t>
            </w:r>
          </w:p>
        </w:tc>
        <w:tc>
          <w:tcPr>
            <w:tcW w:type="dxa" w:w="1296"/>
            <w:tcMar>
              <w:top w:w="30" w:type="dxa"/>
              <w:bottom w:w="30" w:type="dxa"/>
              <w:left w:w="40" w:type="dxa"/>
              <w:right w:w="40" w:type="dxa"/>
            </w:tcMar>
          </w:tcPr>
          <w:p>
            <w:pPr>
              <w:spacing w:before="40" w:after="40" w:line="240" w:lineRule="auto"/>
              <w:jc w:val="center"/>
            </w:pPr>
            <w:r>
              <w:t>19</w:t>
            </w:r>
          </w:p>
        </w:tc>
      </w:tr>
      <w:tr>
        <w:tc>
          <w:tcPr>
            <w:tcW w:type="dxa" w:w="864"/>
            <w:tcMar>
              <w:top w:w="30" w:type="dxa"/>
              <w:bottom w:w="30" w:type="dxa"/>
              <w:left w:w="40" w:type="dxa"/>
              <w:right w:w="40" w:type="dxa"/>
            </w:tcMar>
          </w:tcPr>
          <w:p>
            <w:pPr>
              <w:spacing w:before="40" w:after="40" w:line="240" w:lineRule="auto"/>
              <w:jc w:val="center"/>
            </w:pPr>
            <w:r>
              <w:t>6.3.1</w:t>
            </w:r>
          </w:p>
        </w:tc>
        <w:tc>
          <w:tcPr>
            <w:tcW w:type="dxa" w:w="6768"/>
            <w:tcMar>
              <w:top w:w="30" w:type="dxa"/>
              <w:bottom w:w="30" w:type="dxa"/>
              <w:left w:w="40" w:type="dxa"/>
              <w:right w:w="40" w:type="dxa"/>
            </w:tcMar>
          </w:tcPr>
          <w:p>
            <w:pPr>
              <w:spacing w:before="40" w:after="40" w:line="240" w:lineRule="auto"/>
              <w:jc w:val="left"/>
            </w:pPr>
            <w:r>
              <w:t>Confusion Matrix &amp; Financial Risk Exposure</w:t>
            </w:r>
          </w:p>
        </w:tc>
        <w:tc>
          <w:tcPr>
            <w:tcW w:type="dxa" w:w="1296"/>
            <w:tcMar>
              <w:top w:w="30" w:type="dxa"/>
              <w:bottom w:w="30" w:type="dxa"/>
              <w:left w:w="40" w:type="dxa"/>
              <w:right w:w="40" w:type="dxa"/>
            </w:tcMar>
          </w:tcPr>
          <w:p>
            <w:pPr>
              <w:spacing w:before="40" w:after="40" w:line="240" w:lineRule="auto"/>
              <w:jc w:val="center"/>
            </w:pPr>
            <w:r>
              <w:t>19</w:t>
            </w:r>
          </w:p>
        </w:tc>
      </w:tr>
      <w:tr>
        <w:tc>
          <w:tcPr>
            <w:tcW w:type="dxa" w:w="864"/>
            <w:tcMar>
              <w:top w:w="30" w:type="dxa"/>
              <w:bottom w:w="30" w:type="dxa"/>
              <w:left w:w="40" w:type="dxa"/>
              <w:right w:w="40" w:type="dxa"/>
            </w:tcMar>
          </w:tcPr>
          <w:p>
            <w:pPr>
              <w:spacing w:before="40" w:after="40" w:line="240" w:lineRule="auto"/>
              <w:jc w:val="center"/>
            </w:pPr>
            <w:r>
              <w:t>6.3.2</w:t>
            </w:r>
          </w:p>
        </w:tc>
        <w:tc>
          <w:tcPr>
            <w:tcW w:type="dxa" w:w="6768"/>
            <w:tcMar>
              <w:top w:w="30" w:type="dxa"/>
              <w:bottom w:w="30" w:type="dxa"/>
              <w:left w:w="40" w:type="dxa"/>
              <w:right w:w="40" w:type="dxa"/>
            </w:tcMar>
          </w:tcPr>
          <w:p>
            <w:pPr>
              <w:spacing w:before="40" w:after="40" w:line="240" w:lineRule="auto"/>
              <w:jc w:val="left"/>
            </w:pPr>
            <w:r>
              <w:t>Balanced Accuracy, Precision, Recall &amp; PR-AUC</w:t>
            </w:r>
          </w:p>
        </w:tc>
        <w:tc>
          <w:tcPr>
            <w:tcW w:type="dxa" w:w="1296"/>
            <w:tcMar>
              <w:top w:w="30" w:type="dxa"/>
              <w:bottom w:w="30" w:type="dxa"/>
              <w:left w:w="40" w:type="dxa"/>
              <w:right w:w="40" w:type="dxa"/>
            </w:tcMar>
          </w:tcPr>
          <w:p>
            <w:pPr>
              <w:spacing w:before="40" w:after="40" w:line="240" w:lineRule="auto"/>
              <w:jc w:val="center"/>
            </w:pPr>
            <w:r>
              <w:t>20</w:t>
            </w:r>
          </w:p>
        </w:tc>
      </w:tr>
      <w:tr>
        <w:tc>
          <w:tcPr>
            <w:tcW w:type="dxa" w:w="864"/>
            <w:tcMar>
              <w:top w:w="30" w:type="dxa"/>
              <w:bottom w:w="30" w:type="dxa"/>
              <w:left w:w="40" w:type="dxa"/>
              <w:right w:w="40" w:type="dxa"/>
            </w:tcMar>
          </w:tcPr>
          <w:p>
            <w:pPr>
              <w:spacing w:before="40" w:after="40" w:line="240" w:lineRule="auto"/>
              <w:jc w:val="center"/>
            </w:pPr>
            <w:r>
              <w:t>6.4</w:t>
            </w:r>
          </w:p>
        </w:tc>
        <w:tc>
          <w:tcPr>
            <w:tcW w:type="dxa" w:w="6768"/>
            <w:tcMar>
              <w:top w:w="30" w:type="dxa"/>
              <w:bottom w:w="30" w:type="dxa"/>
              <w:left w:w="40" w:type="dxa"/>
              <w:right w:w="40" w:type="dxa"/>
            </w:tcMar>
          </w:tcPr>
          <w:p>
            <w:pPr>
              <w:spacing w:before="40" w:after="40" w:line="240" w:lineRule="auto"/>
              <w:jc w:val="left"/>
            </w:pPr>
            <w:r>
              <w:t>Decision Threshold Tuning Methodology</w:t>
            </w:r>
          </w:p>
        </w:tc>
        <w:tc>
          <w:tcPr>
            <w:tcW w:type="dxa" w:w="1296"/>
            <w:tcMar>
              <w:top w:w="30" w:type="dxa"/>
              <w:bottom w:w="30" w:type="dxa"/>
              <w:left w:w="40" w:type="dxa"/>
              <w:right w:w="40" w:type="dxa"/>
            </w:tcMar>
          </w:tcPr>
          <w:p>
            <w:pPr>
              <w:spacing w:before="40" w:after="40" w:line="240" w:lineRule="auto"/>
              <w:jc w:val="center"/>
            </w:pPr>
            <w:r>
              <w:t>20</w:t>
            </w:r>
          </w:p>
        </w:tc>
      </w:tr>
      <w:tr>
        <w:tc>
          <w:tcPr>
            <w:tcW w:type="dxa" w:w="864"/>
            <w:tcMar>
              <w:top w:w="30" w:type="dxa"/>
              <w:bottom w:w="30" w:type="dxa"/>
              <w:left w:w="40" w:type="dxa"/>
              <w:right w:w="40" w:type="dxa"/>
            </w:tcMar>
          </w:tcPr>
          <w:p>
            <w:pPr>
              <w:spacing w:before="40" w:after="40" w:line="240" w:lineRule="auto"/>
              <w:jc w:val="center"/>
            </w:pPr>
            <w:r>
              <w:t>6.5</w:t>
            </w:r>
          </w:p>
        </w:tc>
        <w:tc>
          <w:tcPr>
            <w:tcW w:type="dxa" w:w="6768"/>
            <w:tcMar>
              <w:top w:w="30" w:type="dxa"/>
              <w:bottom w:w="30" w:type="dxa"/>
              <w:left w:w="40" w:type="dxa"/>
              <w:right w:w="40" w:type="dxa"/>
            </w:tcMar>
          </w:tcPr>
          <w:p>
            <w:pPr>
              <w:spacing w:before="40" w:after="40" w:line="240" w:lineRule="auto"/>
              <w:jc w:val="left"/>
            </w:pPr>
            <w:r>
              <w:t>Model Interpretability and Feature Importance</w:t>
            </w:r>
          </w:p>
        </w:tc>
        <w:tc>
          <w:tcPr>
            <w:tcW w:type="dxa" w:w="1296"/>
            <w:tcMar>
              <w:top w:w="30" w:type="dxa"/>
              <w:bottom w:w="30" w:type="dxa"/>
              <w:left w:w="40" w:type="dxa"/>
              <w:right w:w="40" w:type="dxa"/>
            </w:tcMar>
          </w:tcPr>
          <w:p>
            <w:pPr>
              <w:spacing w:before="40" w:after="40" w:line="240" w:lineRule="auto"/>
              <w:jc w:val="center"/>
            </w:pPr>
            <w:r>
              <w:t>21</w:t>
            </w:r>
          </w:p>
        </w:tc>
      </w:tr>
      <w:tr>
        <w:tc>
          <w:tcPr>
            <w:tcW w:type="dxa" w:w="864"/>
            <w:tcMar>
              <w:top w:w="30" w:type="dxa"/>
              <w:bottom w:w="30" w:type="dxa"/>
              <w:left w:w="40" w:type="dxa"/>
              <w:right w:w="40" w:type="dxa"/>
            </w:tcMar>
          </w:tcPr>
          <w:p>
            <w:pPr>
              <w:spacing w:before="40" w:after="40" w:line="240" w:lineRule="auto"/>
              <w:jc w:val="center"/>
            </w:pPr>
            <w:r>
              <w:t>6.6</w:t>
            </w:r>
          </w:p>
        </w:tc>
        <w:tc>
          <w:tcPr>
            <w:tcW w:type="dxa" w:w="6768"/>
            <w:tcMar>
              <w:top w:w="30" w:type="dxa"/>
              <w:bottom w:w="30" w:type="dxa"/>
              <w:left w:w="40" w:type="dxa"/>
              <w:right w:w="40" w:type="dxa"/>
            </w:tcMar>
          </w:tcPr>
          <w:p>
            <w:pPr>
              <w:spacing w:before="40" w:after="40" w:line="240" w:lineRule="auto"/>
              <w:jc w:val="left"/>
            </w:pPr>
            <w:r>
              <w:t>Model Evaluation Metrics Mathematical Definitions</w:t>
            </w:r>
          </w:p>
        </w:tc>
        <w:tc>
          <w:tcPr>
            <w:tcW w:type="dxa" w:w="1296"/>
            <w:tcMar>
              <w:top w:w="30" w:type="dxa"/>
              <w:bottom w:w="30" w:type="dxa"/>
              <w:left w:w="40" w:type="dxa"/>
              <w:right w:w="40" w:type="dxa"/>
            </w:tcMar>
          </w:tcPr>
          <w:p>
            <w:pPr>
              <w:spacing w:before="40" w:after="40" w:line="240" w:lineRule="auto"/>
              <w:jc w:val="center"/>
            </w:pPr>
            <w:r>
              <w:t>22</w:t>
            </w:r>
          </w:p>
        </w:tc>
      </w:tr>
      <w:tr>
        <w:tc>
          <w:tcPr>
            <w:tcW w:type="dxa" w:w="864"/>
            <w:tcMar>
              <w:top w:w="30" w:type="dxa"/>
              <w:bottom w:w="30" w:type="dxa"/>
              <w:left w:w="40" w:type="dxa"/>
              <w:right w:w="40" w:type="dxa"/>
            </w:tcMar>
          </w:tcPr>
          <w:p>
            <w:pPr>
              <w:spacing w:before="40" w:after="40" w:line="240" w:lineRule="auto"/>
              <w:jc w:val="center"/>
            </w:pPr>
            <w:r>
              <w:t>7</w:t>
            </w:r>
          </w:p>
        </w:tc>
        <w:tc>
          <w:tcPr>
            <w:tcW w:type="dxa" w:w="6768"/>
            <w:tcMar>
              <w:top w:w="30" w:type="dxa"/>
              <w:bottom w:w="30" w:type="dxa"/>
              <w:left w:w="40" w:type="dxa"/>
              <w:right w:w="40" w:type="dxa"/>
            </w:tcMar>
          </w:tcPr>
          <w:p>
            <w:pPr>
              <w:spacing w:before="40" w:after="40" w:line="240" w:lineRule="auto"/>
              <w:jc w:val="left"/>
            </w:pPr>
            <w:r>
              <w:t>Chapter 7: Results and Analysis</w:t>
            </w:r>
          </w:p>
        </w:tc>
        <w:tc>
          <w:tcPr>
            <w:tcW w:type="dxa" w:w="1296"/>
            <w:tcMar>
              <w:top w:w="30" w:type="dxa"/>
              <w:bottom w:w="30" w:type="dxa"/>
              <w:left w:w="40" w:type="dxa"/>
              <w:right w:w="40" w:type="dxa"/>
            </w:tcMar>
          </w:tcPr>
          <w:p>
            <w:pPr>
              <w:spacing w:before="40" w:after="40" w:line="240" w:lineRule="auto"/>
              <w:jc w:val="center"/>
            </w:pPr>
            <w:r>
              <w:t>23</w:t>
            </w:r>
          </w:p>
        </w:tc>
      </w:tr>
      <w:tr>
        <w:tc>
          <w:tcPr>
            <w:tcW w:type="dxa" w:w="864"/>
            <w:tcMar>
              <w:top w:w="30" w:type="dxa"/>
              <w:bottom w:w="30" w:type="dxa"/>
              <w:left w:w="40" w:type="dxa"/>
              <w:right w:w="40" w:type="dxa"/>
            </w:tcMar>
          </w:tcPr>
          <w:p>
            <w:pPr>
              <w:spacing w:before="40" w:after="40" w:line="240" w:lineRule="auto"/>
              <w:jc w:val="center"/>
            </w:pPr>
            <w:r>
              <w:t>7.1</w:t>
            </w:r>
          </w:p>
        </w:tc>
        <w:tc>
          <w:tcPr>
            <w:tcW w:type="dxa" w:w="6768"/>
            <w:tcMar>
              <w:top w:w="30" w:type="dxa"/>
              <w:bottom w:w="30" w:type="dxa"/>
              <w:left w:w="40" w:type="dxa"/>
              <w:right w:w="40" w:type="dxa"/>
            </w:tcMar>
          </w:tcPr>
          <w:p>
            <w:pPr>
              <w:spacing w:before="40" w:after="40" w:line="240" w:lineRule="auto"/>
              <w:jc w:val="left"/>
            </w:pPr>
            <w:r>
              <w:t>Introduction</w:t>
            </w:r>
          </w:p>
        </w:tc>
        <w:tc>
          <w:tcPr>
            <w:tcW w:type="dxa" w:w="1296"/>
            <w:tcMar>
              <w:top w:w="30" w:type="dxa"/>
              <w:bottom w:w="30" w:type="dxa"/>
              <w:left w:w="40" w:type="dxa"/>
              <w:right w:w="40" w:type="dxa"/>
            </w:tcMar>
          </w:tcPr>
          <w:p>
            <w:pPr>
              <w:spacing w:before="40" w:after="40" w:line="240" w:lineRule="auto"/>
              <w:jc w:val="center"/>
            </w:pPr>
            <w:r>
              <w:t>23</w:t>
            </w:r>
          </w:p>
        </w:tc>
      </w:tr>
      <w:tr>
        <w:tc>
          <w:tcPr>
            <w:tcW w:type="dxa" w:w="864"/>
            <w:tcMar>
              <w:top w:w="30" w:type="dxa"/>
              <w:bottom w:w="30" w:type="dxa"/>
              <w:left w:w="40" w:type="dxa"/>
              <w:right w:w="40" w:type="dxa"/>
            </w:tcMar>
          </w:tcPr>
          <w:p>
            <w:pPr>
              <w:spacing w:before="40" w:after="40" w:line="240" w:lineRule="auto"/>
              <w:jc w:val="center"/>
            </w:pPr>
            <w:r>
              <w:t>7.2</w:t>
            </w:r>
          </w:p>
        </w:tc>
        <w:tc>
          <w:tcPr>
            <w:tcW w:type="dxa" w:w="6768"/>
            <w:tcMar>
              <w:top w:w="30" w:type="dxa"/>
              <w:bottom w:w="30" w:type="dxa"/>
              <w:left w:w="40" w:type="dxa"/>
              <w:right w:w="40" w:type="dxa"/>
            </w:tcMar>
          </w:tcPr>
          <w:p>
            <w:pPr>
              <w:spacing w:before="40" w:after="40" w:line="240" w:lineRule="auto"/>
              <w:jc w:val="left"/>
            </w:pPr>
            <w:r>
              <w:t>Experimental Setup</w:t>
            </w:r>
          </w:p>
        </w:tc>
        <w:tc>
          <w:tcPr>
            <w:tcW w:type="dxa" w:w="1296"/>
            <w:tcMar>
              <w:top w:w="30" w:type="dxa"/>
              <w:bottom w:w="30" w:type="dxa"/>
              <w:left w:w="40" w:type="dxa"/>
              <w:right w:w="40" w:type="dxa"/>
            </w:tcMar>
          </w:tcPr>
          <w:p>
            <w:pPr>
              <w:spacing w:before="40" w:after="40" w:line="240" w:lineRule="auto"/>
              <w:jc w:val="center"/>
            </w:pPr>
            <w:r>
              <w:t>23</w:t>
            </w:r>
          </w:p>
        </w:tc>
      </w:tr>
      <w:tr>
        <w:tc>
          <w:tcPr>
            <w:tcW w:type="dxa" w:w="864"/>
            <w:tcMar>
              <w:top w:w="30" w:type="dxa"/>
              <w:bottom w:w="30" w:type="dxa"/>
              <w:left w:w="40" w:type="dxa"/>
              <w:right w:w="40" w:type="dxa"/>
            </w:tcMar>
          </w:tcPr>
          <w:p>
            <w:pPr>
              <w:spacing w:before="40" w:after="40" w:line="240" w:lineRule="auto"/>
              <w:jc w:val="center"/>
            </w:pPr>
            <w:r>
              <w:t>7.3</w:t>
            </w:r>
          </w:p>
        </w:tc>
        <w:tc>
          <w:tcPr>
            <w:tcW w:type="dxa" w:w="6768"/>
            <w:tcMar>
              <w:top w:w="30" w:type="dxa"/>
              <w:bottom w:w="30" w:type="dxa"/>
              <w:left w:w="40" w:type="dxa"/>
              <w:right w:w="40" w:type="dxa"/>
            </w:tcMar>
          </w:tcPr>
          <w:p>
            <w:pPr>
              <w:spacing w:before="40" w:after="40" w:line="240" w:lineRule="auto"/>
              <w:jc w:val="left"/>
            </w:pPr>
            <w:r>
              <w:t>Headline Classification Results &amp; Metrics</w:t>
            </w:r>
          </w:p>
        </w:tc>
        <w:tc>
          <w:tcPr>
            <w:tcW w:type="dxa" w:w="1296"/>
            <w:tcMar>
              <w:top w:w="30" w:type="dxa"/>
              <w:bottom w:w="30" w:type="dxa"/>
              <w:left w:w="40" w:type="dxa"/>
              <w:right w:w="40" w:type="dxa"/>
            </w:tcMar>
          </w:tcPr>
          <w:p>
            <w:pPr>
              <w:spacing w:before="40" w:after="40" w:line="240" w:lineRule="auto"/>
              <w:jc w:val="center"/>
            </w:pPr>
            <w:r>
              <w:t>23</w:t>
            </w:r>
          </w:p>
        </w:tc>
      </w:tr>
      <w:tr>
        <w:tc>
          <w:tcPr>
            <w:tcW w:type="dxa" w:w="864"/>
            <w:tcMar>
              <w:top w:w="30" w:type="dxa"/>
              <w:bottom w:w="30" w:type="dxa"/>
              <w:left w:w="40" w:type="dxa"/>
              <w:right w:w="40" w:type="dxa"/>
            </w:tcMar>
          </w:tcPr>
          <w:p>
            <w:pPr>
              <w:spacing w:before="40" w:after="40" w:line="240" w:lineRule="auto"/>
              <w:jc w:val="center"/>
            </w:pPr>
            <w:r>
              <w:t>7.4</w:t>
            </w:r>
          </w:p>
        </w:tc>
        <w:tc>
          <w:tcPr>
            <w:tcW w:type="dxa" w:w="6768"/>
            <w:tcMar>
              <w:top w:w="30" w:type="dxa"/>
              <w:bottom w:w="30" w:type="dxa"/>
              <w:left w:w="40" w:type="dxa"/>
              <w:right w:w="40" w:type="dxa"/>
            </w:tcMar>
          </w:tcPr>
          <w:p>
            <w:pPr>
              <w:spacing w:before="40" w:after="40" w:line="240" w:lineRule="auto"/>
              <w:jc w:val="left"/>
            </w:pPr>
            <w:r>
              <w:t>Detailed Confusion Matrix Breakdown</w:t>
            </w:r>
          </w:p>
        </w:tc>
        <w:tc>
          <w:tcPr>
            <w:tcW w:type="dxa" w:w="1296"/>
            <w:tcMar>
              <w:top w:w="30" w:type="dxa"/>
              <w:bottom w:w="30" w:type="dxa"/>
              <w:left w:w="40" w:type="dxa"/>
              <w:right w:w="40" w:type="dxa"/>
            </w:tcMar>
          </w:tcPr>
          <w:p>
            <w:pPr>
              <w:spacing w:before="40" w:after="40" w:line="240" w:lineRule="auto"/>
              <w:jc w:val="center"/>
            </w:pPr>
            <w:r>
              <w:t>24</w:t>
            </w:r>
          </w:p>
        </w:tc>
      </w:tr>
      <w:tr>
        <w:tc>
          <w:tcPr>
            <w:tcW w:type="dxa" w:w="864"/>
            <w:tcMar>
              <w:top w:w="30" w:type="dxa"/>
              <w:bottom w:w="30" w:type="dxa"/>
              <w:left w:w="40" w:type="dxa"/>
              <w:right w:w="40" w:type="dxa"/>
            </w:tcMar>
          </w:tcPr>
          <w:p>
            <w:pPr>
              <w:spacing w:before="40" w:after="40" w:line="240" w:lineRule="auto"/>
              <w:jc w:val="center"/>
            </w:pPr>
            <w:r>
              <w:t>7.5</w:t>
            </w:r>
          </w:p>
        </w:tc>
        <w:tc>
          <w:tcPr>
            <w:tcW w:type="dxa" w:w="6768"/>
            <w:tcMar>
              <w:top w:w="30" w:type="dxa"/>
              <w:bottom w:w="30" w:type="dxa"/>
              <w:left w:w="40" w:type="dxa"/>
              <w:right w:w="40" w:type="dxa"/>
            </w:tcMar>
          </w:tcPr>
          <w:p>
            <w:pPr>
              <w:spacing w:before="40" w:after="40" w:line="240" w:lineRule="auto"/>
              <w:jc w:val="left"/>
            </w:pPr>
            <w:r>
              <w:t>Discrimination Analysis (ROC vs PR)</w:t>
            </w:r>
          </w:p>
        </w:tc>
        <w:tc>
          <w:tcPr>
            <w:tcW w:type="dxa" w:w="1296"/>
            <w:tcMar>
              <w:top w:w="30" w:type="dxa"/>
              <w:bottom w:w="30" w:type="dxa"/>
              <w:left w:w="40" w:type="dxa"/>
              <w:right w:w="40" w:type="dxa"/>
            </w:tcMar>
          </w:tcPr>
          <w:p>
            <w:pPr>
              <w:spacing w:before="40" w:after="40" w:line="240" w:lineRule="auto"/>
              <w:jc w:val="center"/>
            </w:pPr>
            <w:r>
              <w:t>25</w:t>
            </w:r>
          </w:p>
        </w:tc>
      </w:tr>
      <w:tr>
        <w:tc>
          <w:tcPr>
            <w:tcW w:type="dxa" w:w="864"/>
            <w:tcMar>
              <w:top w:w="30" w:type="dxa"/>
              <w:bottom w:w="30" w:type="dxa"/>
              <w:left w:w="40" w:type="dxa"/>
              <w:right w:w="40" w:type="dxa"/>
            </w:tcMar>
          </w:tcPr>
          <w:p>
            <w:pPr>
              <w:spacing w:before="40" w:after="40" w:line="240" w:lineRule="auto"/>
              <w:jc w:val="center"/>
            </w:pPr>
            <w:r>
              <w:t>7.6</w:t>
            </w:r>
          </w:p>
        </w:tc>
        <w:tc>
          <w:tcPr>
            <w:tcW w:type="dxa" w:w="6768"/>
            <w:tcMar>
              <w:top w:w="30" w:type="dxa"/>
              <w:bottom w:w="30" w:type="dxa"/>
              <w:left w:w="40" w:type="dxa"/>
              <w:right w:w="40" w:type="dxa"/>
            </w:tcMar>
          </w:tcPr>
          <w:p>
            <w:pPr>
              <w:spacing w:before="40" w:after="40" w:line="240" w:lineRule="auto"/>
              <w:jc w:val="left"/>
            </w:pPr>
            <w:r>
              <w:t>Threshold Optimization Analysis</w:t>
            </w:r>
          </w:p>
        </w:tc>
        <w:tc>
          <w:tcPr>
            <w:tcW w:type="dxa" w:w="1296"/>
            <w:tcMar>
              <w:top w:w="30" w:type="dxa"/>
              <w:bottom w:w="30" w:type="dxa"/>
              <w:left w:w="40" w:type="dxa"/>
              <w:right w:w="40" w:type="dxa"/>
            </w:tcMar>
          </w:tcPr>
          <w:p>
            <w:pPr>
              <w:spacing w:before="40" w:after="40" w:line="240" w:lineRule="auto"/>
              <w:jc w:val="center"/>
            </w:pPr>
            <w:r>
              <w:t>26</w:t>
            </w:r>
          </w:p>
        </w:tc>
      </w:tr>
      <w:tr>
        <w:tc>
          <w:tcPr>
            <w:tcW w:type="dxa" w:w="864"/>
            <w:tcMar>
              <w:top w:w="30" w:type="dxa"/>
              <w:bottom w:w="30" w:type="dxa"/>
              <w:left w:w="40" w:type="dxa"/>
              <w:right w:w="40" w:type="dxa"/>
            </w:tcMar>
          </w:tcPr>
          <w:p>
            <w:pPr>
              <w:spacing w:before="40" w:after="40" w:line="240" w:lineRule="auto"/>
              <w:jc w:val="center"/>
            </w:pPr>
            <w:r>
              <w:t>7.7</w:t>
            </w:r>
          </w:p>
        </w:tc>
        <w:tc>
          <w:tcPr>
            <w:tcW w:type="dxa" w:w="6768"/>
            <w:tcMar>
              <w:top w:w="30" w:type="dxa"/>
              <w:bottom w:w="30" w:type="dxa"/>
              <w:left w:w="40" w:type="dxa"/>
              <w:right w:w="40" w:type="dxa"/>
            </w:tcMar>
          </w:tcPr>
          <w:p>
            <w:pPr>
              <w:spacing w:before="40" w:after="40" w:line="240" w:lineRule="auto"/>
              <w:jc w:val="left"/>
            </w:pPr>
            <w:r>
              <w:t>Comprehensive Multi-Threshold Analysis Table</w:t>
            </w:r>
          </w:p>
        </w:tc>
        <w:tc>
          <w:tcPr>
            <w:tcW w:type="dxa" w:w="1296"/>
            <w:tcMar>
              <w:top w:w="30" w:type="dxa"/>
              <w:bottom w:w="30" w:type="dxa"/>
              <w:left w:w="40" w:type="dxa"/>
              <w:right w:w="40" w:type="dxa"/>
            </w:tcMar>
          </w:tcPr>
          <w:p>
            <w:pPr>
              <w:spacing w:before="40" w:after="40" w:line="240" w:lineRule="auto"/>
              <w:jc w:val="center"/>
            </w:pPr>
            <w:r>
              <w:t>27</w:t>
            </w:r>
          </w:p>
        </w:tc>
      </w:tr>
      <w:tr>
        <w:tc>
          <w:tcPr>
            <w:tcW w:type="dxa" w:w="864"/>
            <w:tcMar>
              <w:top w:w="30" w:type="dxa"/>
              <w:bottom w:w="30" w:type="dxa"/>
              <w:left w:w="40" w:type="dxa"/>
              <w:right w:w="40" w:type="dxa"/>
            </w:tcMar>
          </w:tcPr>
          <w:p>
            <w:pPr>
              <w:spacing w:before="40" w:after="40" w:line="240" w:lineRule="auto"/>
              <w:jc w:val="center"/>
            </w:pPr>
            <w:r>
              <w:t>7.8</w:t>
            </w:r>
          </w:p>
        </w:tc>
        <w:tc>
          <w:tcPr>
            <w:tcW w:type="dxa" w:w="6768"/>
            <w:tcMar>
              <w:top w:w="30" w:type="dxa"/>
              <w:bottom w:w="30" w:type="dxa"/>
              <w:left w:w="40" w:type="dxa"/>
              <w:right w:w="40" w:type="dxa"/>
            </w:tcMar>
          </w:tcPr>
          <w:p>
            <w:pPr>
              <w:spacing w:before="40" w:after="40" w:line="240" w:lineRule="auto"/>
              <w:jc w:val="left"/>
            </w:pPr>
            <w:r>
              <w:t>Model Calibration &amp; Probability Reliability Analysis</w:t>
            </w:r>
          </w:p>
        </w:tc>
        <w:tc>
          <w:tcPr>
            <w:tcW w:type="dxa" w:w="1296"/>
            <w:tcMar>
              <w:top w:w="30" w:type="dxa"/>
              <w:bottom w:w="30" w:type="dxa"/>
              <w:left w:w="40" w:type="dxa"/>
              <w:right w:w="40" w:type="dxa"/>
            </w:tcMar>
          </w:tcPr>
          <w:p>
            <w:pPr>
              <w:spacing w:before="40" w:after="40" w:line="240" w:lineRule="auto"/>
              <w:jc w:val="center"/>
            </w:pPr>
            <w:r>
              <w:t>28</w:t>
            </w:r>
          </w:p>
        </w:tc>
      </w:tr>
      <w:tr>
        <w:tc>
          <w:tcPr>
            <w:tcW w:type="dxa" w:w="864"/>
            <w:tcMar>
              <w:top w:w="30" w:type="dxa"/>
              <w:bottom w:w="30" w:type="dxa"/>
              <w:left w:w="40" w:type="dxa"/>
              <w:right w:w="40" w:type="dxa"/>
            </w:tcMar>
          </w:tcPr>
          <w:p>
            <w:pPr>
              <w:spacing w:before="40" w:after="40" w:line="240" w:lineRule="auto"/>
              <w:jc w:val="center"/>
            </w:pPr>
            <w:r>
              <w:t>7.9</w:t>
            </w:r>
          </w:p>
        </w:tc>
        <w:tc>
          <w:tcPr>
            <w:tcW w:type="dxa" w:w="6768"/>
            <w:tcMar>
              <w:top w:w="30" w:type="dxa"/>
              <w:bottom w:w="30" w:type="dxa"/>
              <w:left w:w="40" w:type="dxa"/>
              <w:right w:w="40" w:type="dxa"/>
            </w:tcMar>
          </w:tcPr>
          <w:p>
            <w:pPr>
              <w:spacing w:before="40" w:after="40" w:line="240" w:lineRule="auto"/>
              <w:jc w:val="left"/>
            </w:pPr>
            <w:r>
              <w:t>Test Cases</w:t>
            </w:r>
          </w:p>
        </w:tc>
        <w:tc>
          <w:tcPr>
            <w:tcW w:type="dxa" w:w="1296"/>
            <w:tcMar>
              <w:top w:w="30" w:type="dxa"/>
              <w:bottom w:w="30" w:type="dxa"/>
              <w:left w:w="40" w:type="dxa"/>
              <w:right w:w="40" w:type="dxa"/>
            </w:tcMar>
          </w:tcPr>
          <w:p>
            <w:pPr>
              <w:spacing w:before="40" w:after="40" w:line="240" w:lineRule="auto"/>
              <w:jc w:val="center"/>
            </w:pPr>
            <w:r>
              <w:t>29</w:t>
            </w:r>
          </w:p>
        </w:tc>
      </w:tr>
      <w:tr>
        <w:tc>
          <w:tcPr>
            <w:tcW w:type="dxa" w:w="864"/>
            <w:tcMar>
              <w:top w:w="30" w:type="dxa"/>
              <w:bottom w:w="30" w:type="dxa"/>
              <w:left w:w="40" w:type="dxa"/>
              <w:right w:w="40" w:type="dxa"/>
            </w:tcMar>
          </w:tcPr>
          <w:p>
            <w:pPr>
              <w:spacing w:before="40" w:after="40" w:line="240" w:lineRule="auto"/>
              <w:jc w:val="center"/>
            </w:pPr>
            <w:r>
              <w:t>7.10</w:t>
            </w:r>
          </w:p>
        </w:tc>
        <w:tc>
          <w:tcPr>
            <w:tcW w:type="dxa" w:w="6768"/>
            <w:tcMar>
              <w:top w:w="30" w:type="dxa"/>
              <w:bottom w:w="30" w:type="dxa"/>
              <w:left w:w="40" w:type="dxa"/>
              <w:right w:w="40" w:type="dxa"/>
            </w:tcMar>
          </w:tcPr>
          <w:p>
            <w:pPr>
              <w:spacing w:before="40" w:after="40" w:line="240" w:lineRule="auto"/>
              <w:jc w:val="left"/>
            </w:pPr>
            <w:r>
              <w:t>Key Findings &amp; Discussion</w:t>
            </w:r>
          </w:p>
        </w:tc>
        <w:tc>
          <w:tcPr>
            <w:tcW w:type="dxa" w:w="1296"/>
            <w:tcMar>
              <w:top w:w="30" w:type="dxa"/>
              <w:bottom w:w="30" w:type="dxa"/>
              <w:left w:w="40" w:type="dxa"/>
              <w:right w:w="40" w:type="dxa"/>
            </w:tcMar>
          </w:tcPr>
          <w:p>
            <w:pPr>
              <w:spacing w:before="40" w:after="40" w:line="240" w:lineRule="auto"/>
              <w:jc w:val="center"/>
            </w:pPr>
            <w:r>
              <w:t>30</w:t>
            </w:r>
          </w:p>
        </w:tc>
      </w:tr>
      <w:tr>
        <w:tc>
          <w:tcPr>
            <w:tcW w:type="dxa" w:w="864"/>
            <w:tcMar>
              <w:top w:w="30" w:type="dxa"/>
              <w:bottom w:w="30" w:type="dxa"/>
              <w:left w:w="40" w:type="dxa"/>
              <w:right w:w="40" w:type="dxa"/>
            </w:tcMar>
          </w:tcPr>
          <w:p>
            <w:pPr>
              <w:spacing w:before="40" w:after="40" w:line="240" w:lineRule="auto"/>
              <w:jc w:val="center"/>
            </w:pPr>
            <w:r>
              <w:t>8</w:t>
            </w:r>
          </w:p>
        </w:tc>
        <w:tc>
          <w:tcPr>
            <w:tcW w:type="dxa" w:w="6768"/>
            <w:tcMar>
              <w:top w:w="30" w:type="dxa"/>
              <w:bottom w:w="30" w:type="dxa"/>
              <w:left w:w="40" w:type="dxa"/>
              <w:right w:w="40" w:type="dxa"/>
            </w:tcMar>
          </w:tcPr>
          <w:p>
            <w:pPr>
              <w:spacing w:before="40" w:after="40" w:line="240" w:lineRule="auto"/>
              <w:jc w:val="left"/>
            </w:pPr>
            <w:r>
              <w:t>Chapter 8: Output Screens</w:t>
            </w:r>
          </w:p>
        </w:tc>
        <w:tc>
          <w:tcPr>
            <w:tcW w:type="dxa" w:w="1296"/>
            <w:tcMar>
              <w:top w:w="30" w:type="dxa"/>
              <w:bottom w:w="30" w:type="dxa"/>
              <w:left w:w="40" w:type="dxa"/>
              <w:right w:w="40" w:type="dxa"/>
            </w:tcMar>
          </w:tcPr>
          <w:p>
            <w:pPr>
              <w:spacing w:before="40" w:after="40" w:line="240" w:lineRule="auto"/>
              <w:jc w:val="center"/>
            </w:pPr>
            <w:r>
              <w:t>31</w:t>
            </w:r>
          </w:p>
        </w:tc>
      </w:tr>
      <w:tr>
        <w:tc>
          <w:tcPr>
            <w:tcW w:type="dxa" w:w="864"/>
            <w:tcMar>
              <w:top w:w="30" w:type="dxa"/>
              <w:bottom w:w="30" w:type="dxa"/>
              <w:left w:w="40" w:type="dxa"/>
              <w:right w:w="40" w:type="dxa"/>
            </w:tcMar>
          </w:tcPr>
          <w:p>
            <w:pPr>
              <w:spacing w:before="40" w:after="40" w:line="240" w:lineRule="auto"/>
              <w:jc w:val="center"/>
            </w:pPr>
            <w:r>
              <w:t>9</w:t>
            </w:r>
          </w:p>
        </w:tc>
        <w:tc>
          <w:tcPr>
            <w:tcW w:type="dxa" w:w="6768"/>
            <w:tcMar>
              <w:top w:w="30" w:type="dxa"/>
              <w:bottom w:w="30" w:type="dxa"/>
              <w:left w:w="40" w:type="dxa"/>
              <w:right w:w="40" w:type="dxa"/>
            </w:tcMar>
          </w:tcPr>
          <w:p>
            <w:pPr>
              <w:spacing w:before="40" w:after="40" w:line="240" w:lineRule="auto"/>
              <w:jc w:val="left"/>
            </w:pPr>
            <w:r>
              <w:t>Chapter 9: Conclusion</w:t>
            </w:r>
          </w:p>
        </w:tc>
        <w:tc>
          <w:tcPr>
            <w:tcW w:type="dxa" w:w="1296"/>
            <w:tcMar>
              <w:top w:w="30" w:type="dxa"/>
              <w:bottom w:w="30" w:type="dxa"/>
              <w:left w:w="40" w:type="dxa"/>
              <w:right w:w="40" w:type="dxa"/>
            </w:tcMar>
          </w:tcPr>
          <w:p>
            <w:pPr>
              <w:spacing w:before="40" w:after="40" w:line="240" w:lineRule="auto"/>
              <w:jc w:val="center"/>
            </w:pPr>
            <w:r>
              <w:t>34</w:t>
            </w:r>
          </w:p>
        </w:tc>
      </w:tr>
      <w:tr>
        <w:tc>
          <w:tcPr>
            <w:tcW w:type="dxa" w:w="864"/>
            <w:tcMar>
              <w:top w:w="30" w:type="dxa"/>
              <w:bottom w:w="30" w:type="dxa"/>
              <w:left w:w="40" w:type="dxa"/>
              <w:right w:w="40" w:type="dxa"/>
            </w:tcMar>
          </w:tcPr>
          <w:p>
            <w:pPr>
              <w:spacing w:before="40" w:after="40" w:line="240" w:lineRule="auto"/>
              <w:jc w:val="center"/>
            </w:pPr>
            <w:r>
              <w:t>10</w:t>
            </w:r>
          </w:p>
        </w:tc>
        <w:tc>
          <w:tcPr>
            <w:tcW w:type="dxa" w:w="6768"/>
            <w:tcMar>
              <w:top w:w="30" w:type="dxa"/>
              <w:bottom w:w="30" w:type="dxa"/>
              <w:left w:w="40" w:type="dxa"/>
              <w:right w:w="40" w:type="dxa"/>
            </w:tcMar>
          </w:tcPr>
          <w:p>
            <w:pPr>
              <w:spacing w:before="40" w:after="40" w:line="240" w:lineRule="auto"/>
              <w:jc w:val="left"/>
            </w:pPr>
            <w:r>
              <w:t>Chapter 10: Future Scope</w:t>
            </w:r>
          </w:p>
        </w:tc>
        <w:tc>
          <w:tcPr>
            <w:tcW w:type="dxa" w:w="1296"/>
            <w:tcMar>
              <w:top w:w="30" w:type="dxa"/>
              <w:bottom w:w="30" w:type="dxa"/>
              <w:left w:w="40" w:type="dxa"/>
              <w:right w:w="40" w:type="dxa"/>
            </w:tcMar>
          </w:tcPr>
          <w:p>
            <w:pPr>
              <w:spacing w:before="40" w:after="40" w:line="240" w:lineRule="auto"/>
              <w:jc w:val="center"/>
            </w:pPr>
            <w:r>
              <w:t>35</w:t>
            </w:r>
          </w:p>
        </w:tc>
      </w:tr>
      <w:tr>
        <w:tc>
          <w:tcPr>
            <w:tcW w:type="dxa" w:w="864"/>
            <w:tcMar>
              <w:top w:w="30" w:type="dxa"/>
              <w:bottom w:w="30" w:type="dxa"/>
              <w:left w:w="40" w:type="dxa"/>
              <w:right w:w="40" w:type="dxa"/>
            </w:tcMar>
          </w:tcPr>
          <w:p>
            <w:pPr>
              <w:spacing w:before="40" w:after="40" w:line="240" w:lineRule="auto"/>
              <w:jc w:val="center"/>
            </w:pPr>
            <w:r>
              <w:t>11</w:t>
            </w:r>
          </w:p>
        </w:tc>
        <w:tc>
          <w:tcPr>
            <w:tcW w:type="dxa" w:w="6768"/>
            <w:tcMar>
              <w:top w:w="30" w:type="dxa"/>
              <w:bottom w:w="30" w:type="dxa"/>
              <w:left w:w="40" w:type="dxa"/>
              <w:right w:w="40" w:type="dxa"/>
            </w:tcMar>
          </w:tcPr>
          <w:p>
            <w:pPr>
              <w:spacing w:before="40" w:after="40" w:line="240" w:lineRule="auto"/>
              <w:jc w:val="left"/>
            </w:pPr>
            <w:r>
              <w:t>Chapter 11: References</w:t>
            </w:r>
          </w:p>
        </w:tc>
        <w:tc>
          <w:tcPr>
            <w:tcW w:type="dxa" w:w="1296"/>
            <w:tcMar>
              <w:top w:w="30" w:type="dxa"/>
              <w:bottom w:w="30" w:type="dxa"/>
              <w:left w:w="40" w:type="dxa"/>
              <w:right w:w="40" w:type="dxa"/>
            </w:tcMar>
          </w:tcPr>
          <w:p>
            <w:pPr>
              <w:spacing w:before="40" w:after="40" w:line="240" w:lineRule="auto"/>
              <w:jc w:val="center"/>
            </w:pPr>
            <w:r>
              <w:t>36</w:t>
            </w:r>
          </w:p>
        </w:tc>
      </w:tr>
    </w:tbl>
    <w:p>
      <w:r>
        <w:br w:type="page"/>
      </w:r>
    </w:p>
    <w:p>
      <w:pPr>
        <w:spacing w:before="200" w:after="240" w:line="276"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3010"/>
        <w:gridCol w:w="3010"/>
        <w:gridCol w:w="3010"/>
      </w:tblGrid>
      <w:tr>
        <w:tc>
          <w:tcPr>
            <w:tcW w:type="dxa" w:w="1296"/>
            <w:shd w:fill="F5F5F5"/>
            <w:tcMar>
              <w:top w:w="25" w:type="dxa"/>
              <w:bottom w:w="25" w:type="dxa"/>
              <w:left w:w="40" w:type="dxa"/>
              <w:right w:w="40" w:type="dxa"/>
            </w:tcMar>
          </w:tcPr>
          <w:p>
            <w:pPr>
              <w:jc w:val="center"/>
            </w:pPr>
            <w:r>
              <w:rPr>
                <w:b/>
              </w:rPr>
              <w:t>Figure No.</w:t>
            </w:r>
          </w:p>
        </w:tc>
        <w:tc>
          <w:tcPr>
            <w:tcW w:type="dxa" w:w="6480"/>
            <w:shd w:fill="F5F5F5"/>
            <w:tcMar>
              <w:top w:w="25" w:type="dxa"/>
              <w:bottom w:w="25" w:type="dxa"/>
              <w:left w:w="40" w:type="dxa"/>
              <w:right w:w="40" w:type="dxa"/>
            </w:tcMar>
          </w:tcPr>
          <w:p>
            <w:pPr>
              <w:jc w:val="center"/>
            </w:pPr>
            <w:r>
              <w:rPr>
                <w:b/>
              </w:rPr>
              <w:t>Figure Name</w:t>
            </w:r>
          </w:p>
        </w:tc>
        <w:tc>
          <w:tcPr>
            <w:tcW w:type="dxa" w:w="1152"/>
            <w:shd w:fill="F5F5F5"/>
            <w:tcMar>
              <w:top w:w="25" w:type="dxa"/>
              <w:bottom w:w="25" w:type="dxa"/>
              <w:left w:w="40" w:type="dxa"/>
              <w:right w:w="40" w:type="dxa"/>
            </w:tcMar>
          </w:tcPr>
          <w:p>
            <w:pPr>
              <w:jc w:val="center"/>
            </w:pPr>
            <w:r>
              <w:rPr>
                <w:b/>
              </w:rPr>
              <w:t>Page No.</w:t>
            </w:r>
          </w:p>
        </w:tc>
      </w:tr>
      <w:tr>
        <w:tc>
          <w:tcPr>
            <w:tcW w:type="dxa" w:w="1296"/>
            <w:tcMar>
              <w:top w:w="20" w:type="dxa"/>
              <w:bottom w:w="20" w:type="dxa"/>
              <w:left w:w="35" w:type="dxa"/>
              <w:right w:w="35" w:type="dxa"/>
            </w:tcMar>
          </w:tcPr>
          <w:p>
            <w:pPr>
              <w:spacing w:before="30" w:after="30"/>
              <w:jc w:val="center"/>
            </w:pPr>
            <w:r>
              <w:t>Fig. 3.1</w:t>
            </w:r>
          </w:p>
        </w:tc>
        <w:tc>
          <w:tcPr>
            <w:tcW w:type="dxa" w:w="6480"/>
            <w:tcMar>
              <w:top w:w="20" w:type="dxa"/>
              <w:bottom w:w="20" w:type="dxa"/>
              <w:left w:w="35" w:type="dxa"/>
              <w:right w:w="35" w:type="dxa"/>
            </w:tcMar>
          </w:tcPr>
          <w:p>
            <w:pPr>
              <w:spacing w:before="30" w:after="30"/>
              <w:jc w:val="left"/>
            </w:pPr>
            <w:r>
              <w:t>Development environment setup and project folder structure</w:t>
            </w:r>
          </w:p>
        </w:tc>
        <w:tc>
          <w:tcPr>
            <w:tcW w:type="dxa" w:w="1152"/>
            <w:tcMar>
              <w:top w:w="20" w:type="dxa"/>
              <w:bottom w:w="20" w:type="dxa"/>
              <w:left w:w="35" w:type="dxa"/>
              <w:right w:w="35" w:type="dxa"/>
            </w:tcMar>
          </w:tcPr>
          <w:p>
            <w:pPr>
              <w:spacing w:before="30" w:after="30"/>
              <w:jc w:val="center"/>
            </w:pPr>
            <w:r>
              <w:t>5</w:t>
            </w:r>
          </w:p>
        </w:tc>
      </w:tr>
      <w:tr>
        <w:tc>
          <w:tcPr>
            <w:tcW w:type="dxa" w:w="1296"/>
            <w:tcMar>
              <w:top w:w="20" w:type="dxa"/>
              <w:bottom w:w="20" w:type="dxa"/>
              <w:left w:w="35" w:type="dxa"/>
              <w:right w:w="35" w:type="dxa"/>
            </w:tcMar>
          </w:tcPr>
          <w:p>
            <w:pPr>
              <w:spacing w:before="30" w:after="30"/>
              <w:jc w:val="center"/>
            </w:pPr>
            <w:r>
              <w:t>Fig. 3.2</w:t>
            </w:r>
          </w:p>
        </w:tc>
        <w:tc>
          <w:tcPr>
            <w:tcW w:type="dxa" w:w="6480"/>
            <w:tcMar>
              <w:top w:w="20" w:type="dxa"/>
              <w:bottom w:w="20" w:type="dxa"/>
              <w:left w:w="35" w:type="dxa"/>
              <w:right w:w="35" w:type="dxa"/>
            </w:tcMar>
          </w:tcPr>
          <w:p>
            <w:pPr>
              <w:spacing w:before="30" w:after="30"/>
              <w:jc w:val="left"/>
            </w:pPr>
            <w:r>
              <w:t>Installed library versions</w:t>
            </w:r>
          </w:p>
        </w:tc>
        <w:tc>
          <w:tcPr>
            <w:tcW w:type="dxa" w:w="1152"/>
            <w:tcMar>
              <w:top w:w="20" w:type="dxa"/>
              <w:bottom w:w="20" w:type="dxa"/>
              <w:left w:w="35" w:type="dxa"/>
              <w:right w:w="35" w:type="dxa"/>
            </w:tcMar>
          </w:tcPr>
          <w:p>
            <w:pPr>
              <w:spacing w:before="30" w:after="30"/>
              <w:jc w:val="center"/>
            </w:pPr>
            <w:r>
              <w:t>6</w:t>
            </w:r>
          </w:p>
        </w:tc>
      </w:tr>
      <w:tr>
        <w:tc>
          <w:tcPr>
            <w:tcW w:type="dxa" w:w="1296"/>
            <w:tcMar>
              <w:top w:w="20" w:type="dxa"/>
              <w:bottom w:w="20" w:type="dxa"/>
              <w:left w:w="35" w:type="dxa"/>
              <w:right w:w="35" w:type="dxa"/>
            </w:tcMar>
          </w:tcPr>
          <w:p>
            <w:pPr>
              <w:spacing w:before="30" w:after="30"/>
              <w:jc w:val="center"/>
            </w:pPr>
            <w:r>
              <w:t>Fig. 4.1</w:t>
            </w:r>
          </w:p>
        </w:tc>
        <w:tc>
          <w:tcPr>
            <w:tcW w:type="dxa" w:w="6480"/>
            <w:tcMar>
              <w:top w:w="20" w:type="dxa"/>
              <w:bottom w:w="20" w:type="dxa"/>
              <w:left w:w="35" w:type="dxa"/>
              <w:right w:w="35" w:type="dxa"/>
            </w:tcMar>
          </w:tcPr>
          <w:p>
            <w:pPr>
              <w:spacing w:before="30" w:after="30"/>
              <w:jc w:val="left"/>
            </w:pPr>
            <w:r>
              <w:t>System architecture of the LoanGuard-AI System</w:t>
            </w:r>
          </w:p>
        </w:tc>
        <w:tc>
          <w:tcPr>
            <w:tcW w:type="dxa" w:w="1152"/>
            <w:tcMar>
              <w:top w:w="20" w:type="dxa"/>
              <w:bottom w:w="20" w:type="dxa"/>
              <w:left w:w="35" w:type="dxa"/>
              <w:right w:w="35" w:type="dxa"/>
            </w:tcMar>
          </w:tcPr>
          <w:p>
            <w:pPr>
              <w:spacing w:before="30" w:after="30"/>
              <w:jc w:val="center"/>
            </w:pPr>
            <w:r>
              <w:t>9</w:t>
            </w:r>
          </w:p>
        </w:tc>
      </w:tr>
      <w:tr>
        <w:tc>
          <w:tcPr>
            <w:tcW w:type="dxa" w:w="1296"/>
            <w:tcMar>
              <w:top w:w="20" w:type="dxa"/>
              <w:bottom w:w="20" w:type="dxa"/>
              <w:left w:w="35" w:type="dxa"/>
              <w:right w:w="35" w:type="dxa"/>
            </w:tcMar>
          </w:tcPr>
          <w:p>
            <w:pPr>
              <w:spacing w:before="30" w:after="30"/>
              <w:jc w:val="center"/>
            </w:pPr>
            <w:r>
              <w:t>Fig. 5.1</w:t>
            </w:r>
          </w:p>
        </w:tc>
        <w:tc>
          <w:tcPr>
            <w:tcW w:type="dxa" w:w="6480"/>
            <w:tcMar>
              <w:top w:w="20" w:type="dxa"/>
              <w:bottom w:w="20" w:type="dxa"/>
              <w:left w:w="35" w:type="dxa"/>
              <w:right w:w="35" w:type="dxa"/>
            </w:tcMar>
          </w:tcPr>
          <w:p>
            <w:pPr>
              <w:spacing w:before="30" w:after="30"/>
              <w:jc w:val="left"/>
            </w:pPr>
            <w:r>
              <w:t>Missing values audit per feature before cleaning</w:t>
            </w:r>
          </w:p>
        </w:tc>
        <w:tc>
          <w:tcPr>
            <w:tcW w:type="dxa" w:w="1152"/>
            <w:tcMar>
              <w:top w:w="20" w:type="dxa"/>
              <w:bottom w:w="20" w:type="dxa"/>
              <w:left w:w="35" w:type="dxa"/>
              <w:right w:w="35" w:type="dxa"/>
            </w:tcMar>
          </w:tcPr>
          <w:p>
            <w:pPr>
              <w:spacing w:before="30" w:after="30"/>
              <w:jc w:val="center"/>
            </w:pPr>
            <w:r>
              <w:t>11</w:t>
            </w:r>
          </w:p>
        </w:tc>
      </w:tr>
      <w:tr>
        <w:tc>
          <w:tcPr>
            <w:tcW w:type="dxa" w:w="1296"/>
            <w:tcMar>
              <w:top w:w="20" w:type="dxa"/>
              <w:bottom w:w="20" w:type="dxa"/>
              <w:left w:w="35" w:type="dxa"/>
              <w:right w:w="35" w:type="dxa"/>
            </w:tcMar>
          </w:tcPr>
          <w:p>
            <w:pPr>
              <w:spacing w:before="30" w:after="30"/>
              <w:jc w:val="center"/>
            </w:pPr>
            <w:r>
              <w:t>Fig. 5.2</w:t>
            </w:r>
          </w:p>
        </w:tc>
        <w:tc>
          <w:tcPr>
            <w:tcW w:type="dxa" w:w="6480"/>
            <w:tcMar>
              <w:top w:w="20" w:type="dxa"/>
              <w:bottom w:w="20" w:type="dxa"/>
              <w:left w:w="35" w:type="dxa"/>
              <w:right w:w="35" w:type="dxa"/>
            </w:tcMar>
          </w:tcPr>
          <w:p>
            <w:pPr>
              <w:spacing w:before="30" w:after="30"/>
              <w:jc w:val="left"/>
            </w:pPr>
            <w:r>
              <w:t>Class distribution of the target variable (fraud_flag)</w:t>
            </w:r>
          </w:p>
        </w:tc>
        <w:tc>
          <w:tcPr>
            <w:tcW w:type="dxa" w:w="1152"/>
            <w:tcMar>
              <w:top w:w="20" w:type="dxa"/>
              <w:bottom w:w="20" w:type="dxa"/>
              <w:left w:w="35" w:type="dxa"/>
              <w:right w:w="35" w:type="dxa"/>
            </w:tcMar>
          </w:tcPr>
          <w:p>
            <w:pPr>
              <w:spacing w:before="30" w:after="30"/>
              <w:jc w:val="center"/>
            </w:pPr>
            <w:r>
              <w:t>12</w:t>
            </w:r>
          </w:p>
        </w:tc>
      </w:tr>
      <w:tr>
        <w:tc>
          <w:tcPr>
            <w:tcW w:type="dxa" w:w="1296"/>
            <w:tcMar>
              <w:top w:w="20" w:type="dxa"/>
              <w:bottom w:w="20" w:type="dxa"/>
              <w:left w:w="35" w:type="dxa"/>
              <w:right w:w="35" w:type="dxa"/>
            </w:tcMar>
          </w:tcPr>
          <w:p>
            <w:pPr>
              <w:spacing w:before="30" w:after="30"/>
              <w:jc w:val="center"/>
            </w:pPr>
            <w:r>
              <w:t>Fig. 5.3</w:t>
            </w:r>
          </w:p>
        </w:tc>
        <w:tc>
          <w:tcPr>
            <w:tcW w:type="dxa" w:w="6480"/>
            <w:tcMar>
              <w:top w:w="20" w:type="dxa"/>
              <w:bottom w:w="20" w:type="dxa"/>
              <w:left w:w="35" w:type="dxa"/>
              <w:right w:w="35" w:type="dxa"/>
            </w:tcMar>
          </w:tcPr>
          <w:p>
            <w:pPr>
              <w:spacing w:before="30" w:after="30"/>
              <w:jc w:val="left"/>
            </w:pPr>
            <w:r>
              <w:t>Box plots of all features after cleaning (outlier check)</w:t>
            </w:r>
          </w:p>
        </w:tc>
        <w:tc>
          <w:tcPr>
            <w:tcW w:type="dxa" w:w="1152"/>
            <w:tcMar>
              <w:top w:w="20" w:type="dxa"/>
              <w:bottom w:w="20" w:type="dxa"/>
              <w:left w:w="35" w:type="dxa"/>
              <w:right w:w="35" w:type="dxa"/>
            </w:tcMar>
          </w:tcPr>
          <w:p>
            <w:pPr>
              <w:spacing w:before="30" w:after="30"/>
              <w:jc w:val="center"/>
            </w:pPr>
            <w:r>
              <w:t>13</w:t>
            </w:r>
          </w:p>
        </w:tc>
      </w:tr>
      <w:tr>
        <w:tc>
          <w:tcPr>
            <w:tcW w:type="dxa" w:w="1296"/>
            <w:tcMar>
              <w:top w:w="20" w:type="dxa"/>
              <w:bottom w:w="20" w:type="dxa"/>
              <w:left w:w="35" w:type="dxa"/>
              <w:right w:w="35" w:type="dxa"/>
            </w:tcMar>
          </w:tcPr>
          <w:p>
            <w:pPr>
              <w:spacing w:before="30" w:after="30"/>
              <w:jc w:val="center"/>
            </w:pPr>
            <w:r>
              <w:t>Fig. 5.4</w:t>
            </w:r>
          </w:p>
        </w:tc>
        <w:tc>
          <w:tcPr>
            <w:tcW w:type="dxa" w:w="6480"/>
            <w:tcMar>
              <w:top w:w="20" w:type="dxa"/>
              <w:bottom w:w="20" w:type="dxa"/>
              <w:left w:w="35" w:type="dxa"/>
              <w:right w:w="35" w:type="dxa"/>
            </w:tcMar>
          </w:tcPr>
          <w:p>
            <w:pPr>
              <w:spacing w:before="30" w:after="30"/>
              <w:jc w:val="left"/>
            </w:pPr>
            <w:r>
              <w:t>Output of data_cleaning.py showing dataset statistics and class distribution</w:t>
            </w:r>
          </w:p>
        </w:tc>
        <w:tc>
          <w:tcPr>
            <w:tcW w:type="dxa" w:w="1152"/>
            <w:tcMar>
              <w:top w:w="20" w:type="dxa"/>
              <w:bottom w:w="20" w:type="dxa"/>
              <w:left w:w="35" w:type="dxa"/>
              <w:right w:w="35" w:type="dxa"/>
            </w:tcMar>
          </w:tcPr>
          <w:p>
            <w:pPr>
              <w:spacing w:before="30" w:after="30"/>
              <w:jc w:val="center"/>
            </w:pPr>
            <w:r>
              <w:t>14</w:t>
            </w:r>
          </w:p>
        </w:tc>
      </w:tr>
      <w:tr>
        <w:tc>
          <w:tcPr>
            <w:tcW w:type="dxa" w:w="1296"/>
            <w:tcMar>
              <w:top w:w="20" w:type="dxa"/>
              <w:bottom w:w="20" w:type="dxa"/>
              <w:left w:w="35" w:type="dxa"/>
              <w:right w:w="35" w:type="dxa"/>
            </w:tcMar>
          </w:tcPr>
          <w:p>
            <w:pPr>
              <w:spacing w:before="30" w:after="30"/>
              <w:jc w:val="center"/>
            </w:pPr>
            <w:r>
              <w:t>Fig. 5.5</w:t>
            </w:r>
          </w:p>
        </w:tc>
        <w:tc>
          <w:tcPr>
            <w:tcW w:type="dxa" w:w="6480"/>
            <w:tcMar>
              <w:top w:w="20" w:type="dxa"/>
              <w:bottom w:w="20" w:type="dxa"/>
              <w:left w:w="35" w:type="dxa"/>
              <w:right w:w="35" w:type="dxa"/>
            </w:tcMar>
          </w:tcPr>
          <w:p>
            <w:pPr>
              <w:spacing w:before="30" w:after="30"/>
              <w:jc w:val="left"/>
            </w:pPr>
            <w:r>
              <w:t>Feature distributions (univariate histograms with KDE)</w:t>
            </w:r>
          </w:p>
        </w:tc>
        <w:tc>
          <w:tcPr>
            <w:tcW w:type="dxa" w:w="1152"/>
            <w:tcMar>
              <w:top w:w="20" w:type="dxa"/>
              <w:bottom w:w="20" w:type="dxa"/>
              <w:left w:w="35" w:type="dxa"/>
              <w:right w:w="35" w:type="dxa"/>
            </w:tcMar>
          </w:tcPr>
          <w:p>
            <w:pPr>
              <w:spacing w:before="30" w:after="30"/>
              <w:jc w:val="center"/>
            </w:pPr>
            <w:r>
              <w:t>15</w:t>
            </w:r>
          </w:p>
        </w:tc>
      </w:tr>
      <w:tr>
        <w:tc>
          <w:tcPr>
            <w:tcW w:type="dxa" w:w="1296"/>
            <w:tcMar>
              <w:top w:w="20" w:type="dxa"/>
              <w:bottom w:w="20" w:type="dxa"/>
              <w:left w:w="35" w:type="dxa"/>
              <w:right w:w="35" w:type="dxa"/>
            </w:tcMar>
          </w:tcPr>
          <w:p>
            <w:pPr>
              <w:spacing w:before="30" w:after="30"/>
              <w:jc w:val="center"/>
            </w:pPr>
            <w:r>
              <w:t>Fig. 5.6</w:t>
            </w:r>
          </w:p>
        </w:tc>
        <w:tc>
          <w:tcPr>
            <w:tcW w:type="dxa" w:w="6480"/>
            <w:tcMar>
              <w:top w:w="20" w:type="dxa"/>
              <w:bottom w:w="20" w:type="dxa"/>
              <w:left w:w="35" w:type="dxa"/>
              <w:right w:w="35" w:type="dxa"/>
            </w:tcMar>
          </w:tcPr>
          <w:p>
            <w:pPr>
              <w:spacing w:before="30" w:after="30"/>
              <w:jc w:val="left"/>
            </w:pPr>
            <w:r>
              <w:t>Feature correlation heatmap</w:t>
            </w:r>
          </w:p>
        </w:tc>
        <w:tc>
          <w:tcPr>
            <w:tcW w:type="dxa" w:w="1152"/>
            <w:tcMar>
              <w:top w:w="20" w:type="dxa"/>
              <w:bottom w:w="20" w:type="dxa"/>
              <w:left w:w="35" w:type="dxa"/>
              <w:right w:w="35" w:type="dxa"/>
            </w:tcMar>
          </w:tcPr>
          <w:p>
            <w:pPr>
              <w:spacing w:before="30" w:after="30"/>
              <w:jc w:val="center"/>
            </w:pPr>
            <w:r>
              <w:t>16</w:t>
            </w:r>
          </w:p>
        </w:tc>
      </w:tr>
      <w:tr>
        <w:tc>
          <w:tcPr>
            <w:tcW w:type="dxa" w:w="1296"/>
            <w:tcMar>
              <w:top w:w="20" w:type="dxa"/>
              <w:bottom w:w="20" w:type="dxa"/>
              <w:left w:w="35" w:type="dxa"/>
              <w:right w:w="35" w:type="dxa"/>
            </w:tcMar>
          </w:tcPr>
          <w:p>
            <w:pPr>
              <w:spacing w:before="30" w:after="30"/>
              <w:jc w:val="center"/>
            </w:pPr>
            <w:r>
              <w:t>Fig. 5.7</w:t>
            </w:r>
          </w:p>
        </w:tc>
        <w:tc>
          <w:tcPr>
            <w:tcW w:type="dxa" w:w="6480"/>
            <w:tcMar>
              <w:top w:w="20" w:type="dxa"/>
              <w:bottom w:w="20" w:type="dxa"/>
              <w:left w:w="35" w:type="dxa"/>
              <w:right w:w="35" w:type="dxa"/>
            </w:tcMar>
          </w:tcPr>
          <w:p>
            <w:pPr>
              <w:spacing w:before="30" w:after="30"/>
              <w:jc w:val="left"/>
            </w:pPr>
            <w:r>
              <w:t>CIBIL score and DTI distributions by fraud outcome</w:t>
            </w:r>
          </w:p>
        </w:tc>
        <w:tc>
          <w:tcPr>
            <w:tcW w:type="dxa" w:w="1152"/>
            <w:tcMar>
              <w:top w:w="20" w:type="dxa"/>
              <w:bottom w:w="20" w:type="dxa"/>
              <w:left w:w="35" w:type="dxa"/>
              <w:right w:w="35" w:type="dxa"/>
            </w:tcMar>
          </w:tcPr>
          <w:p>
            <w:pPr>
              <w:spacing w:before="30" w:after="30"/>
              <w:jc w:val="center"/>
            </w:pPr>
            <w:r>
              <w:t>16</w:t>
            </w:r>
          </w:p>
        </w:tc>
      </w:tr>
      <w:tr>
        <w:tc>
          <w:tcPr>
            <w:tcW w:type="dxa" w:w="1296"/>
            <w:tcMar>
              <w:top w:w="20" w:type="dxa"/>
              <w:bottom w:w="20" w:type="dxa"/>
              <w:left w:w="35" w:type="dxa"/>
              <w:right w:w="35" w:type="dxa"/>
            </w:tcMar>
          </w:tcPr>
          <w:p>
            <w:pPr>
              <w:spacing w:before="30" w:after="30"/>
              <w:jc w:val="center"/>
            </w:pPr>
            <w:r>
              <w:t>Fig. 6.1</w:t>
            </w:r>
          </w:p>
        </w:tc>
        <w:tc>
          <w:tcPr>
            <w:tcW w:type="dxa" w:w="6480"/>
            <w:tcMar>
              <w:top w:w="20" w:type="dxa"/>
              <w:bottom w:w="20" w:type="dxa"/>
              <w:left w:w="35" w:type="dxa"/>
              <w:right w:w="35" w:type="dxa"/>
            </w:tcMar>
          </w:tcPr>
          <w:p>
            <w:pPr>
              <w:spacing w:before="30" w:after="30"/>
              <w:jc w:val="left"/>
            </w:pPr>
            <w:r>
              <w:t>Output of train_model.py showing balanced training and evaluation</w:t>
            </w:r>
          </w:p>
        </w:tc>
        <w:tc>
          <w:tcPr>
            <w:tcW w:type="dxa" w:w="1152"/>
            <w:tcMar>
              <w:top w:w="20" w:type="dxa"/>
              <w:bottom w:w="20" w:type="dxa"/>
              <w:left w:w="35" w:type="dxa"/>
              <w:right w:w="35" w:type="dxa"/>
            </w:tcMar>
          </w:tcPr>
          <w:p>
            <w:pPr>
              <w:spacing w:before="30" w:after="30"/>
              <w:jc w:val="center"/>
            </w:pPr>
            <w:r>
              <w:t>21</w:t>
            </w:r>
          </w:p>
        </w:tc>
      </w:tr>
      <w:tr>
        <w:tc>
          <w:tcPr>
            <w:tcW w:type="dxa" w:w="1296"/>
            <w:tcMar>
              <w:top w:w="20" w:type="dxa"/>
              <w:bottom w:w="20" w:type="dxa"/>
              <w:left w:w="35" w:type="dxa"/>
              <w:right w:w="35" w:type="dxa"/>
            </w:tcMar>
          </w:tcPr>
          <w:p>
            <w:pPr>
              <w:spacing w:before="30" w:after="30"/>
              <w:jc w:val="center"/>
            </w:pPr>
            <w:r>
              <w:t>Fig. 6.2</w:t>
            </w:r>
          </w:p>
        </w:tc>
        <w:tc>
          <w:tcPr>
            <w:tcW w:type="dxa" w:w="6480"/>
            <w:tcMar>
              <w:top w:w="20" w:type="dxa"/>
              <w:bottom w:w="20" w:type="dxa"/>
              <w:left w:w="35" w:type="dxa"/>
              <w:right w:w="35" w:type="dxa"/>
            </w:tcMar>
          </w:tcPr>
          <w:p>
            <w:pPr>
              <w:spacing w:before="30" w:after="30"/>
              <w:jc w:val="left"/>
            </w:pPr>
            <w:r>
              <w:t>Logistic Regression feature coefficients (odds ratio / risk drivers)</w:t>
            </w:r>
          </w:p>
        </w:tc>
        <w:tc>
          <w:tcPr>
            <w:tcW w:type="dxa" w:w="1152"/>
            <w:tcMar>
              <w:top w:w="20" w:type="dxa"/>
              <w:bottom w:w="20" w:type="dxa"/>
              <w:left w:w="35" w:type="dxa"/>
              <w:right w:w="35" w:type="dxa"/>
            </w:tcMar>
          </w:tcPr>
          <w:p>
            <w:pPr>
              <w:spacing w:before="30" w:after="30"/>
              <w:jc w:val="center"/>
            </w:pPr>
            <w:r>
              <w:t>21</w:t>
            </w:r>
          </w:p>
        </w:tc>
      </w:tr>
      <w:tr>
        <w:tc>
          <w:tcPr>
            <w:tcW w:type="dxa" w:w="1296"/>
            <w:tcMar>
              <w:top w:w="20" w:type="dxa"/>
              <w:bottom w:w="20" w:type="dxa"/>
              <w:left w:w="35" w:type="dxa"/>
              <w:right w:w="35" w:type="dxa"/>
            </w:tcMar>
          </w:tcPr>
          <w:p>
            <w:pPr>
              <w:spacing w:before="30" w:after="30"/>
              <w:jc w:val="center"/>
            </w:pPr>
            <w:r>
              <w:t>Fig. 6.3</w:t>
            </w:r>
          </w:p>
        </w:tc>
        <w:tc>
          <w:tcPr>
            <w:tcW w:type="dxa" w:w="6480"/>
            <w:tcMar>
              <w:top w:w="20" w:type="dxa"/>
              <w:bottom w:w="20" w:type="dxa"/>
              <w:left w:w="35" w:type="dxa"/>
              <w:right w:w="35" w:type="dxa"/>
            </w:tcMar>
          </w:tcPr>
          <w:p>
            <w:pPr>
              <w:spacing w:before="30" w:after="30"/>
              <w:jc w:val="left"/>
            </w:pPr>
            <w:r>
              <w:t>Prediction probability distribution (Legitimate vs Fraud)</w:t>
            </w:r>
          </w:p>
        </w:tc>
        <w:tc>
          <w:tcPr>
            <w:tcW w:type="dxa" w:w="1152"/>
            <w:tcMar>
              <w:top w:w="20" w:type="dxa"/>
              <w:bottom w:w="20" w:type="dxa"/>
              <w:left w:w="35" w:type="dxa"/>
              <w:right w:w="35" w:type="dxa"/>
            </w:tcMar>
          </w:tcPr>
          <w:p>
            <w:pPr>
              <w:spacing w:before="30" w:after="30"/>
              <w:jc w:val="center"/>
            </w:pPr>
            <w:r>
              <w:t>22</w:t>
            </w:r>
          </w:p>
        </w:tc>
      </w:tr>
      <w:tr>
        <w:tc>
          <w:tcPr>
            <w:tcW w:type="dxa" w:w="1296"/>
            <w:tcMar>
              <w:top w:w="20" w:type="dxa"/>
              <w:bottom w:w="20" w:type="dxa"/>
              <w:left w:w="35" w:type="dxa"/>
              <w:right w:w="35" w:type="dxa"/>
            </w:tcMar>
          </w:tcPr>
          <w:p>
            <w:pPr>
              <w:spacing w:before="30" w:after="30"/>
              <w:jc w:val="center"/>
            </w:pPr>
            <w:r>
              <w:t>Fig. 6.4</w:t>
            </w:r>
          </w:p>
        </w:tc>
        <w:tc>
          <w:tcPr>
            <w:tcW w:type="dxa" w:w="6480"/>
            <w:tcMar>
              <w:top w:w="20" w:type="dxa"/>
              <w:bottom w:w="20" w:type="dxa"/>
              <w:left w:w="35" w:type="dxa"/>
              <w:right w:w="35" w:type="dxa"/>
            </w:tcMar>
          </w:tcPr>
          <w:p>
            <w:pPr>
              <w:spacing w:before="30" w:after="30"/>
              <w:jc w:val="left"/>
            </w:pPr>
            <w:r>
              <w:t>Model calibration curve (reliability diagram)</w:t>
            </w:r>
          </w:p>
        </w:tc>
        <w:tc>
          <w:tcPr>
            <w:tcW w:type="dxa" w:w="1152"/>
            <w:tcMar>
              <w:top w:w="20" w:type="dxa"/>
              <w:bottom w:w="20" w:type="dxa"/>
              <w:left w:w="35" w:type="dxa"/>
              <w:right w:w="35" w:type="dxa"/>
            </w:tcMar>
          </w:tcPr>
          <w:p>
            <w:pPr>
              <w:spacing w:before="30" w:after="30"/>
              <w:jc w:val="center"/>
            </w:pPr>
            <w:r>
              <w:t>22</w:t>
            </w:r>
          </w:p>
        </w:tc>
      </w:tr>
      <w:tr>
        <w:tc>
          <w:tcPr>
            <w:tcW w:type="dxa" w:w="1296"/>
            <w:tcMar>
              <w:top w:w="20" w:type="dxa"/>
              <w:bottom w:w="20" w:type="dxa"/>
              <w:left w:w="35" w:type="dxa"/>
              <w:right w:w="35" w:type="dxa"/>
            </w:tcMar>
          </w:tcPr>
          <w:p>
            <w:pPr>
              <w:spacing w:before="30" w:after="30"/>
              <w:jc w:val="center"/>
            </w:pPr>
            <w:r>
              <w:t>Fig. 7.1</w:t>
            </w:r>
          </w:p>
        </w:tc>
        <w:tc>
          <w:tcPr>
            <w:tcW w:type="dxa" w:w="6480"/>
            <w:tcMar>
              <w:top w:w="20" w:type="dxa"/>
              <w:bottom w:w="20" w:type="dxa"/>
              <w:left w:w="35" w:type="dxa"/>
              <w:right w:w="35" w:type="dxa"/>
            </w:tcMar>
          </w:tcPr>
          <w:p>
            <w:pPr>
              <w:spacing w:before="30" w:after="30"/>
              <w:jc w:val="left"/>
            </w:pPr>
            <w:r>
              <w:t>Confusion matrix (raw counts and normalized percentages)</w:t>
            </w:r>
          </w:p>
        </w:tc>
        <w:tc>
          <w:tcPr>
            <w:tcW w:type="dxa" w:w="1152"/>
            <w:tcMar>
              <w:top w:w="20" w:type="dxa"/>
              <w:bottom w:w="20" w:type="dxa"/>
              <w:left w:w="35" w:type="dxa"/>
              <w:right w:w="35" w:type="dxa"/>
            </w:tcMar>
          </w:tcPr>
          <w:p>
            <w:pPr>
              <w:spacing w:before="30" w:after="30"/>
              <w:jc w:val="center"/>
            </w:pPr>
            <w:r>
              <w:t>24</w:t>
            </w:r>
          </w:p>
        </w:tc>
      </w:tr>
      <w:tr>
        <w:tc>
          <w:tcPr>
            <w:tcW w:type="dxa" w:w="1296"/>
            <w:tcMar>
              <w:top w:w="20" w:type="dxa"/>
              <w:bottom w:w="20" w:type="dxa"/>
              <w:left w:w="35" w:type="dxa"/>
              <w:right w:w="35" w:type="dxa"/>
            </w:tcMar>
          </w:tcPr>
          <w:p>
            <w:pPr>
              <w:spacing w:before="30" w:after="30"/>
              <w:jc w:val="center"/>
            </w:pPr>
            <w:r>
              <w:t>Fig. 7.2</w:t>
            </w:r>
          </w:p>
        </w:tc>
        <w:tc>
          <w:tcPr>
            <w:tcW w:type="dxa" w:w="6480"/>
            <w:tcMar>
              <w:top w:w="20" w:type="dxa"/>
              <w:bottom w:w="20" w:type="dxa"/>
              <w:left w:w="35" w:type="dxa"/>
              <w:right w:w="35" w:type="dxa"/>
            </w:tcMar>
          </w:tcPr>
          <w:p>
            <w:pPr>
              <w:spacing w:before="30" w:after="30"/>
              <w:jc w:val="left"/>
            </w:pPr>
            <w:r>
              <w:t>Financial cost and risk mitigation matrix</w:t>
            </w:r>
          </w:p>
        </w:tc>
        <w:tc>
          <w:tcPr>
            <w:tcW w:type="dxa" w:w="1152"/>
            <w:tcMar>
              <w:top w:w="20" w:type="dxa"/>
              <w:bottom w:w="20" w:type="dxa"/>
              <w:left w:w="35" w:type="dxa"/>
              <w:right w:w="35" w:type="dxa"/>
            </w:tcMar>
          </w:tcPr>
          <w:p>
            <w:pPr>
              <w:spacing w:before="30" w:after="30"/>
              <w:jc w:val="center"/>
            </w:pPr>
            <w:r>
              <w:t>24</w:t>
            </w:r>
          </w:p>
        </w:tc>
      </w:tr>
      <w:tr>
        <w:tc>
          <w:tcPr>
            <w:tcW w:type="dxa" w:w="1296"/>
            <w:tcMar>
              <w:top w:w="20" w:type="dxa"/>
              <w:bottom w:w="20" w:type="dxa"/>
              <w:left w:w="35" w:type="dxa"/>
              <w:right w:w="35" w:type="dxa"/>
            </w:tcMar>
          </w:tcPr>
          <w:p>
            <w:pPr>
              <w:spacing w:before="30" w:after="30"/>
              <w:jc w:val="center"/>
            </w:pPr>
            <w:r>
              <w:t>Fig. 7.3</w:t>
            </w:r>
          </w:p>
        </w:tc>
        <w:tc>
          <w:tcPr>
            <w:tcW w:type="dxa" w:w="6480"/>
            <w:tcMar>
              <w:top w:w="20" w:type="dxa"/>
              <w:bottom w:w="20" w:type="dxa"/>
              <w:left w:w="35" w:type="dxa"/>
              <w:right w:w="35" w:type="dxa"/>
            </w:tcMar>
          </w:tcPr>
          <w:p>
            <w:pPr>
              <w:spacing w:before="30" w:after="30"/>
              <w:jc w:val="left"/>
            </w:pPr>
            <w:r>
              <w:t>Receiver Operating Characteristic (ROC) curve</w:t>
            </w:r>
          </w:p>
        </w:tc>
        <w:tc>
          <w:tcPr>
            <w:tcW w:type="dxa" w:w="1152"/>
            <w:tcMar>
              <w:top w:w="20" w:type="dxa"/>
              <w:bottom w:w="20" w:type="dxa"/>
              <w:left w:w="35" w:type="dxa"/>
              <w:right w:w="35" w:type="dxa"/>
            </w:tcMar>
          </w:tcPr>
          <w:p>
            <w:pPr>
              <w:spacing w:before="30" w:after="30"/>
              <w:jc w:val="center"/>
            </w:pPr>
            <w:r>
              <w:t>25</w:t>
            </w:r>
          </w:p>
        </w:tc>
      </w:tr>
      <w:tr>
        <w:tc>
          <w:tcPr>
            <w:tcW w:type="dxa" w:w="1296"/>
            <w:tcMar>
              <w:top w:w="20" w:type="dxa"/>
              <w:bottom w:w="20" w:type="dxa"/>
              <w:left w:w="35" w:type="dxa"/>
              <w:right w:w="35" w:type="dxa"/>
            </w:tcMar>
          </w:tcPr>
          <w:p>
            <w:pPr>
              <w:spacing w:before="30" w:after="30"/>
              <w:jc w:val="center"/>
            </w:pPr>
            <w:r>
              <w:t>Fig. 7.4</w:t>
            </w:r>
          </w:p>
        </w:tc>
        <w:tc>
          <w:tcPr>
            <w:tcW w:type="dxa" w:w="6480"/>
            <w:tcMar>
              <w:top w:w="20" w:type="dxa"/>
              <w:bottom w:w="20" w:type="dxa"/>
              <w:left w:w="35" w:type="dxa"/>
              <w:right w:w="35" w:type="dxa"/>
            </w:tcMar>
          </w:tcPr>
          <w:p>
            <w:pPr>
              <w:spacing w:before="30" w:after="30"/>
              <w:jc w:val="left"/>
            </w:pPr>
            <w:r>
              <w:t>Precision-Recall curve with no-skill baseline</w:t>
            </w:r>
          </w:p>
        </w:tc>
        <w:tc>
          <w:tcPr>
            <w:tcW w:type="dxa" w:w="1152"/>
            <w:tcMar>
              <w:top w:w="20" w:type="dxa"/>
              <w:bottom w:w="20" w:type="dxa"/>
              <w:left w:w="35" w:type="dxa"/>
              <w:right w:w="35" w:type="dxa"/>
            </w:tcMar>
          </w:tcPr>
          <w:p>
            <w:pPr>
              <w:spacing w:before="30" w:after="30"/>
              <w:jc w:val="center"/>
            </w:pPr>
            <w:r>
              <w:t>25</w:t>
            </w:r>
          </w:p>
        </w:tc>
      </w:tr>
      <w:tr>
        <w:tc>
          <w:tcPr>
            <w:tcW w:type="dxa" w:w="1296"/>
            <w:tcMar>
              <w:top w:w="20" w:type="dxa"/>
              <w:bottom w:w="20" w:type="dxa"/>
              <w:left w:w="35" w:type="dxa"/>
              <w:right w:w="35" w:type="dxa"/>
            </w:tcMar>
          </w:tcPr>
          <w:p>
            <w:pPr>
              <w:spacing w:before="30" w:after="30"/>
              <w:jc w:val="center"/>
            </w:pPr>
            <w:r>
              <w:t>Fig. 7.5</w:t>
            </w:r>
          </w:p>
        </w:tc>
        <w:tc>
          <w:tcPr>
            <w:tcW w:type="dxa" w:w="6480"/>
            <w:tcMar>
              <w:top w:w="20" w:type="dxa"/>
              <w:bottom w:w="20" w:type="dxa"/>
              <w:left w:w="35" w:type="dxa"/>
              <w:right w:w="35" w:type="dxa"/>
            </w:tcMar>
          </w:tcPr>
          <w:p>
            <w:pPr>
              <w:spacing w:before="30" w:after="30"/>
              <w:jc w:val="left"/>
            </w:pPr>
            <w:r>
              <w:t>Decision threshold trade-off curve across operating cutoffs</w:t>
            </w:r>
          </w:p>
        </w:tc>
        <w:tc>
          <w:tcPr>
            <w:tcW w:type="dxa" w:w="1152"/>
            <w:tcMar>
              <w:top w:w="20" w:type="dxa"/>
              <w:bottom w:w="20" w:type="dxa"/>
              <w:left w:w="35" w:type="dxa"/>
              <w:right w:w="35" w:type="dxa"/>
            </w:tcMar>
          </w:tcPr>
          <w:p>
            <w:pPr>
              <w:spacing w:before="30" w:after="30"/>
              <w:jc w:val="center"/>
            </w:pPr>
            <w:r>
              <w:t>26</w:t>
            </w:r>
          </w:p>
        </w:tc>
      </w:tr>
      <w:tr>
        <w:tc>
          <w:tcPr>
            <w:tcW w:type="dxa" w:w="1296"/>
            <w:tcMar>
              <w:top w:w="20" w:type="dxa"/>
              <w:bottom w:w="20" w:type="dxa"/>
              <w:left w:w="35" w:type="dxa"/>
              <w:right w:w="35" w:type="dxa"/>
            </w:tcMar>
          </w:tcPr>
          <w:p>
            <w:pPr>
              <w:spacing w:before="30" w:after="30"/>
              <w:jc w:val="center"/>
            </w:pPr>
            <w:r>
              <w:t>Fig. 7.6</w:t>
            </w:r>
          </w:p>
        </w:tc>
        <w:tc>
          <w:tcPr>
            <w:tcW w:type="dxa" w:w="6480"/>
            <w:tcMar>
              <w:top w:w="20" w:type="dxa"/>
              <w:bottom w:w="20" w:type="dxa"/>
              <w:left w:w="35" w:type="dxa"/>
              <w:right w:w="35" w:type="dxa"/>
            </w:tcMar>
          </w:tcPr>
          <w:p>
            <w:pPr>
              <w:spacing w:before="30" w:after="30"/>
              <w:jc w:val="left"/>
            </w:pPr>
            <w:r>
              <w:t>Metrics comparison scorecard bar chart</w:t>
            </w:r>
          </w:p>
        </w:tc>
        <w:tc>
          <w:tcPr>
            <w:tcW w:type="dxa" w:w="1152"/>
            <w:tcMar>
              <w:top w:w="20" w:type="dxa"/>
              <w:bottom w:w="20" w:type="dxa"/>
              <w:left w:w="35" w:type="dxa"/>
              <w:right w:w="35" w:type="dxa"/>
            </w:tcMar>
          </w:tcPr>
          <w:p>
            <w:pPr>
              <w:spacing w:before="30" w:after="30"/>
              <w:jc w:val="center"/>
            </w:pPr>
            <w:r>
              <w:t>26</w:t>
            </w:r>
          </w:p>
        </w:tc>
      </w:tr>
      <w:tr>
        <w:tc>
          <w:tcPr>
            <w:tcW w:type="dxa" w:w="1296"/>
            <w:tcMar>
              <w:top w:w="20" w:type="dxa"/>
              <w:bottom w:w="20" w:type="dxa"/>
              <w:left w:w="35" w:type="dxa"/>
              <w:right w:w="35" w:type="dxa"/>
            </w:tcMar>
          </w:tcPr>
          <w:p>
            <w:pPr>
              <w:spacing w:before="30" w:after="30"/>
              <w:jc w:val="center"/>
            </w:pPr>
            <w:r>
              <w:t>Fig. 7.7</w:t>
            </w:r>
          </w:p>
        </w:tc>
        <w:tc>
          <w:tcPr>
            <w:tcW w:type="dxa" w:w="6480"/>
            <w:tcMar>
              <w:top w:w="20" w:type="dxa"/>
              <w:bottom w:w="20" w:type="dxa"/>
              <w:left w:w="35" w:type="dxa"/>
              <w:right w:w="35" w:type="dxa"/>
            </w:tcMar>
          </w:tcPr>
          <w:p>
            <w:pPr>
              <w:spacing w:before="30" w:after="30"/>
              <w:jc w:val="left"/>
            </w:pPr>
            <w:r>
              <w:t>Financial savings and risk exposure across decision thresholds</w:t>
            </w:r>
          </w:p>
        </w:tc>
        <w:tc>
          <w:tcPr>
            <w:tcW w:type="dxa" w:w="1152"/>
            <w:tcMar>
              <w:top w:w="20" w:type="dxa"/>
              <w:bottom w:w="20" w:type="dxa"/>
              <w:left w:w="35" w:type="dxa"/>
              <w:right w:w="35" w:type="dxa"/>
            </w:tcMar>
          </w:tcPr>
          <w:p>
            <w:pPr>
              <w:spacing w:before="30" w:after="30"/>
              <w:jc w:val="center"/>
            </w:pPr>
            <w:r>
              <w:t>27</w:t>
            </w:r>
          </w:p>
        </w:tc>
      </w:tr>
      <w:tr>
        <w:tc>
          <w:tcPr>
            <w:tcW w:type="dxa" w:w="1296"/>
            <w:tcMar>
              <w:top w:w="20" w:type="dxa"/>
              <w:bottom w:w="20" w:type="dxa"/>
              <w:left w:w="35" w:type="dxa"/>
              <w:right w:w="35" w:type="dxa"/>
            </w:tcMar>
          </w:tcPr>
          <w:p>
            <w:pPr>
              <w:spacing w:before="30" w:after="30"/>
              <w:jc w:val="center"/>
            </w:pPr>
            <w:r>
              <w:t>Fig. 7.8</w:t>
            </w:r>
          </w:p>
        </w:tc>
        <w:tc>
          <w:tcPr>
            <w:tcW w:type="dxa" w:w="6480"/>
            <w:tcMar>
              <w:top w:w="20" w:type="dxa"/>
              <w:bottom w:w="20" w:type="dxa"/>
              <w:left w:w="35" w:type="dxa"/>
              <w:right w:w="35" w:type="dxa"/>
            </w:tcMar>
          </w:tcPr>
          <w:p>
            <w:pPr>
              <w:spacing w:before="30" w:after="30"/>
              <w:jc w:val="left"/>
            </w:pPr>
            <w:r>
              <w:t>ROC and PR discrimination curves comparison</w:t>
            </w:r>
          </w:p>
        </w:tc>
        <w:tc>
          <w:tcPr>
            <w:tcW w:type="dxa" w:w="1152"/>
            <w:tcMar>
              <w:top w:w="20" w:type="dxa"/>
              <w:bottom w:w="20" w:type="dxa"/>
              <w:left w:w="35" w:type="dxa"/>
              <w:right w:w="35" w:type="dxa"/>
            </w:tcMar>
          </w:tcPr>
          <w:p>
            <w:pPr>
              <w:spacing w:before="30" w:after="30"/>
              <w:jc w:val="center"/>
            </w:pPr>
            <w:r>
              <w:t>28</w:t>
            </w:r>
          </w:p>
        </w:tc>
      </w:tr>
      <w:tr>
        <w:tc>
          <w:tcPr>
            <w:tcW w:type="dxa" w:w="1296"/>
            <w:tcMar>
              <w:top w:w="20" w:type="dxa"/>
              <w:bottom w:w="20" w:type="dxa"/>
              <w:left w:w="35" w:type="dxa"/>
              <w:right w:w="35" w:type="dxa"/>
            </w:tcMar>
          </w:tcPr>
          <w:p>
            <w:pPr>
              <w:spacing w:before="30" w:after="30"/>
              <w:jc w:val="center"/>
            </w:pPr>
            <w:r>
              <w:t>Fig. 7.9</w:t>
            </w:r>
          </w:p>
        </w:tc>
        <w:tc>
          <w:tcPr>
            <w:tcW w:type="dxa" w:w="6480"/>
            <w:tcMar>
              <w:top w:w="20" w:type="dxa"/>
              <w:bottom w:w="20" w:type="dxa"/>
              <w:left w:w="35" w:type="dxa"/>
              <w:right w:w="35" w:type="dxa"/>
            </w:tcMar>
          </w:tcPr>
          <w:p>
            <w:pPr>
              <w:spacing w:before="30" w:after="30"/>
              <w:jc w:val="left"/>
            </w:pPr>
            <w:r>
              <w:t>Metrics comparison across evaluation criteria</w:t>
            </w:r>
          </w:p>
        </w:tc>
        <w:tc>
          <w:tcPr>
            <w:tcW w:type="dxa" w:w="1152"/>
            <w:tcMar>
              <w:top w:w="20" w:type="dxa"/>
              <w:bottom w:w="20" w:type="dxa"/>
              <w:left w:w="35" w:type="dxa"/>
              <w:right w:w="35" w:type="dxa"/>
            </w:tcMar>
          </w:tcPr>
          <w:p>
            <w:pPr>
              <w:spacing w:before="30" w:after="30"/>
              <w:jc w:val="center"/>
            </w:pPr>
            <w:r>
              <w:t>28</w:t>
            </w:r>
          </w:p>
        </w:tc>
      </w:tr>
      <w:tr>
        <w:tc>
          <w:tcPr>
            <w:tcW w:type="dxa" w:w="1296"/>
            <w:tcMar>
              <w:top w:w="20" w:type="dxa"/>
              <w:bottom w:w="20" w:type="dxa"/>
              <w:left w:w="35" w:type="dxa"/>
              <w:right w:w="35" w:type="dxa"/>
            </w:tcMar>
          </w:tcPr>
          <w:p>
            <w:pPr>
              <w:spacing w:before="30" w:after="30"/>
              <w:jc w:val="center"/>
            </w:pPr>
            <w:r>
              <w:t>Fig. 7.10</w:t>
            </w:r>
          </w:p>
        </w:tc>
        <w:tc>
          <w:tcPr>
            <w:tcW w:type="dxa" w:w="6480"/>
            <w:tcMar>
              <w:top w:w="20" w:type="dxa"/>
              <w:bottom w:w="20" w:type="dxa"/>
              <w:left w:w="35" w:type="dxa"/>
              <w:right w:w="35" w:type="dxa"/>
            </w:tcMar>
          </w:tcPr>
          <w:p>
            <w:pPr>
              <w:spacing w:before="30" w:after="30"/>
              <w:jc w:val="left"/>
            </w:pPr>
            <w:r>
              <w:t>Model feature importance drivers bar chart</w:t>
            </w:r>
          </w:p>
        </w:tc>
        <w:tc>
          <w:tcPr>
            <w:tcW w:type="dxa" w:w="1152"/>
            <w:tcMar>
              <w:top w:w="20" w:type="dxa"/>
              <w:bottom w:w="20" w:type="dxa"/>
              <w:left w:w="35" w:type="dxa"/>
              <w:right w:w="35" w:type="dxa"/>
            </w:tcMar>
          </w:tcPr>
          <w:p>
            <w:pPr>
              <w:spacing w:before="30" w:after="30"/>
              <w:jc w:val="center"/>
            </w:pPr>
            <w:r>
              <w:t>29</w:t>
            </w:r>
          </w:p>
        </w:tc>
      </w:tr>
      <w:tr>
        <w:tc>
          <w:tcPr>
            <w:tcW w:type="dxa" w:w="1296"/>
            <w:tcMar>
              <w:top w:w="20" w:type="dxa"/>
              <w:bottom w:w="20" w:type="dxa"/>
              <w:left w:w="35" w:type="dxa"/>
              <w:right w:w="35" w:type="dxa"/>
            </w:tcMar>
          </w:tcPr>
          <w:p>
            <w:pPr>
              <w:spacing w:before="30" w:after="30"/>
              <w:jc w:val="center"/>
            </w:pPr>
            <w:r>
              <w:t>Fig. 7.11</w:t>
            </w:r>
          </w:p>
        </w:tc>
        <w:tc>
          <w:tcPr>
            <w:tcW w:type="dxa" w:w="6480"/>
            <w:tcMar>
              <w:top w:w="20" w:type="dxa"/>
              <w:bottom w:w="20" w:type="dxa"/>
              <w:left w:w="35" w:type="dxa"/>
              <w:right w:w="35" w:type="dxa"/>
            </w:tcMar>
          </w:tcPr>
          <w:p>
            <w:pPr>
              <w:spacing w:before="30" w:after="30"/>
              <w:jc w:val="left"/>
            </w:pPr>
            <w:r>
              <w:t>Underwriting decision factor breakdown for sample loan application</w:t>
            </w:r>
          </w:p>
        </w:tc>
        <w:tc>
          <w:tcPr>
            <w:tcW w:type="dxa" w:w="1152"/>
            <w:tcMar>
              <w:top w:w="20" w:type="dxa"/>
              <w:bottom w:w="20" w:type="dxa"/>
              <w:left w:w="35" w:type="dxa"/>
              <w:right w:w="35" w:type="dxa"/>
            </w:tcMar>
          </w:tcPr>
          <w:p>
            <w:pPr>
              <w:spacing w:before="30" w:after="30"/>
              <w:jc w:val="center"/>
            </w:pPr>
            <w:r>
              <w:t>29</w:t>
            </w:r>
          </w:p>
        </w:tc>
      </w:tr>
      <w:tr>
        <w:tc>
          <w:tcPr>
            <w:tcW w:type="dxa" w:w="1296"/>
            <w:tcMar>
              <w:top w:w="20" w:type="dxa"/>
              <w:bottom w:w="20" w:type="dxa"/>
              <w:left w:w="35" w:type="dxa"/>
              <w:right w:w="35" w:type="dxa"/>
            </w:tcMar>
          </w:tcPr>
          <w:p>
            <w:pPr>
              <w:spacing w:before="30" w:after="30"/>
              <w:jc w:val="center"/>
            </w:pPr>
            <w:r>
              <w:t>Fig. 8.1</w:t>
            </w:r>
          </w:p>
        </w:tc>
        <w:tc>
          <w:tcPr>
            <w:tcW w:type="dxa" w:w="6480"/>
            <w:tcMar>
              <w:top w:w="20" w:type="dxa"/>
              <w:bottom w:w="20" w:type="dxa"/>
              <w:left w:w="35" w:type="dxa"/>
              <w:right w:w="35" w:type="dxa"/>
            </w:tcMar>
          </w:tcPr>
          <w:p>
            <w:pPr>
              <w:spacing w:before="30" w:after="30"/>
              <w:jc w:val="left"/>
            </w:pPr>
            <w:r>
              <w:t>Starting the Streamlit web application</w:t>
            </w:r>
          </w:p>
        </w:tc>
        <w:tc>
          <w:tcPr>
            <w:tcW w:type="dxa" w:w="1152"/>
            <w:tcMar>
              <w:top w:w="20" w:type="dxa"/>
              <w:bottom w:w="20" w:type="dxa"/>
              <w:left w:w="35" w:type="dxa"/>
              <w:right w:w="35" w:type="dxa"/>
            </w:tcMar>
          </w:tcPr>
          <w:p>
            <w:pPr>
              <w:spacing w:before="30" w:after="30"/>
              <w:jc w:val="center"/>
            </w:pPr>
            <w:r>
              <w:t>31</w:t>
            </w:r>
          </w:p>
        </w:tc>
      </w:tr>
      <w:tr>
        <w:tc>
          <w:tcPr>
            <w:tcW w:type="dxa" w:w="1296"/>
            <w:tcMar>
              <w:top w:w="20" w:type="dxa"/>
              <w:bottom w:w="20" w:type="dxa"/>
              <w:left w:w="35" w:type="dxa"/>
              <w:right w:w="35" w:type="dxa"/>
            </w:tcMar>
          </w:tcPr>
          <w:p>
            <w:pPr>
              <w:spacing w:before="30" w:after="30"/>
              <w:jc w:val="center"/>
            </w:pPr>
            <w:r>
              <w:t>Fig. 8.2</w:t>
            </w:r>
          </w:p>
        </w:tc>
        <w:tc>
          <w:tcPr>
            <w:tcW w:type="dxa" w:w="6480"/>
            <w:tcMar>
              <w:top w:w="20" w:type="dxa"/>
              <w:bottom w:w="20" w:type="dxa"/>
              <w:left w:w="35" w:type="dxa"/>
              <w:right w:w="35" w:type="dxa"/>
            </w:tcMar>
          </w:tcPr>
          <w:p>
            <w:pPr>
              <w:spacing w:before="30" w:after="30"/>
              <w:jc w:val="left"/>
            </w:pPr>
            <w:r>
              <w:t>Streamlit web app: Clear / Low-Risk application evaluation</w:t>
            </w:r>
          </w:p>
        </w:tc>
        <w:tc>
          <w:tcPr>
            <w:tcW w:type="dxa" w:w="1152"/>
            <w:tcMar>
              <w:top w:w="20" w:type="dxa"/>
              <w:bottom w:w="20" w:type="dxa"/>
              <w:left w:w="35" w:type="dxa"/>
              <w:right w:w="35" w:type="dxa"/>
            </w:tcMar>
          </w:tcPr>
          <w:p>
            <w:pPr>
              <w:spacing w:before="30" w:after="30"/>
              <w:jc w:val="center"/>
            </w:pPr>
            <w:r>
              <w:t>31</w:t>
            </w:r>
          </w:p>
        </w:tc>
      </w:tr>
      <w:tr>
        <w:tc>
          <w:tcPr>
            <w:tcW w:type="dxa" w:w="1296"/>
            <w:tcMar>
              <w:top w:w="20" w:type="dxa"/>
              <w:bottom w:w="20" w:type="dxa"/>
              <w:left w:w="35" w:type="dxa"/>
              <w:right w:w="35" w:type="dxa"/>
            </w:tcMar>
          </w:tcPr>
          <w:p>
            <w:pPr>
              <w:spacing w:before="30" w:after="30"/>
              <w:jc w:val="center"/>
            </w:pPr>
            <w:r>
              <w:t>Fig. 8.3</w:t>
            </w:r>
          </w:p>
        </w:tc>
        <w:tc>
          <w:tcPr>
            <w:tcW w:type="dxa" w:w="6480"/>
            <w:tcMar>
              <w:top w:w="20" w:type="dxa"/>
              <w:bottom w:w="20" w:type="dxa"/>
              <w:left w:w="35" w:type="dxa"/>
              <w:right w:w="35" w:type="dxa"/>
            </w:tcMar>
          </w:tcPr>
          <w:p>
            <w:pPr>
              <w:spacing w:before="30" w:after="30"/>
              <w:jc w:val="left"/>
            </w:pPr>
            <w:r>
              <w:t>Streamlit web app: Flagged high fraud risk application with risk drivers</w:t>
            </w:r>
          </w:p>
        </w:tc>
        <w:tc>
          <w:tcPr>
            <w:tcW w:type="dxa" w:w="1152"/>
            <w:tcMar>
              <w:top w:w="20" w:type="dxa"/>
              <w:bottom w:w="20" w:type="dxa"/>
              <w:left w:w="35" w:type="dxa"/>
              <w:right w:w="35" w:type="dxa"/>
            </w:tcMar>
          </w:tcPr>
          <w:p>
            <w:pPr>
              <w:spacing w:before="30" w:after="30"/>
              <w:jc w:val="center"/>
            </w:pPr>
            <w:r>
              <w:t>32</w:t>
            </w:r>
          </w:p>
        </w:tc>
      </w:tr>
      <w:tr>
        <w:tc>
          <w:tcPr>
            <w:tcW w:type="dxa" w:w="1296"/>
            <w:tcMar>
              <w:top w:w="20" w:type="dxa"/>
              <w:bottom w:w="20" w:type="dxa"/>
              <w:left w:w="35" w:type="dxa"/>
              <w:right w:w="35" w:type="dxa"/>
            </w:tcMar>
          </w:tcPr>
          <w:p>
            <w:pPr>
              <w:spacing w:before="30" w:after="30"/>
              <w:jc w:val="center"/>
            </w:pPr>
            <w:r>
              <w:t>Fig. 8.4</w:t>
            </w:r>
          </w:p>
        </w:tc>
        <w:tc>
          <w:tcPr>
            <w:tcW w:type="dxa" w:w="6480"/>
            <w:tcMar>
              <w:top w:w="20" w:type="dxa"/>
              <w:bottom w:w="20" w:type="dxa"/>
              <w:left w:w="35" w:type="dxa"/>
              <w:right w:w="35" w:type="dxa"/>
            </w:tcMar>
          </w:tcPr>
          <w:p>
            <w:pPr>
              <w:spacing w:before="30" w:after="30"/>
              <w:jc w:val="left"/>
            </w:pPr>
            <w:r>
              <w:t>Streamlit web app: Caution / Moderate risk application evaluation</w:t>
            </w:r>
          </w:p>
        </w:tc>
        <w:tc>
          <w:tcPr>
            <w:tcW w:type="dxa" w:w="1152"/>
            <w:tcMar>
              <w:top w:w="20" w:type="dxa"/>
              <w:bottom w:w="20" w:type="dxa"/>
              <w:left w:w="35" w:type="dxa"/>
              <w:right w:w="35" w:type="dxa"/>
            </w:tcMar>
          </w:tcPr>
          <w:p>
            <w:pPr>
              <w:spacing w:before="30" w:after="30"/>
              <w:jc w:val="center"/>
            </w:pPr>
            <w:r>
              <w:t>32</w:t>
            </w:r>
          </w:p>
        </w:tc>
      </w:tr>
      <w:tr>
        <w:tc>
          <w:tcPr>
            <w:tcW w:type="dxa" w:w="1296"/>
            <w:tcMar>
              <w:top w:w="20" w:type="dxa"/>
              <w:bottom w:w="20" w:type="dxa"/>
              <w:left w:w="35" w:type="dxa"/>
              <w:right w:w="35" w:type="dxa"/>
            </w:tcMar>
          </w:tcPr>
          <w:p>
            <w:pPr>
              <w:spacing w:before="30" w:after="30"/>
              <w:jc w:val="center"/>
            </w:pPr>
            <w:r>
              <w:t>Fig. 8.5</w:t>
            </w:r>
          </w:p>
        </w:tc>
        <w:tc>
          <w:tcPr>
            <w:tcW w:type="dxa" w:w="6480"/>
            <w:tcMar>
              <w:top w:w="20" w:type="dxa"/>
              <w:bottom w:w="20" w:type="dxa"/>
              <w:left w:w="35" w:type="dxa"/>
              <w:right w:w="35" w:type="dxa"/>
            </w:tcMar>
          </w:tcPr>
          <w:p>
            <w:pPr>
              <w:spacing w:before="30" w:after="30"/>
              <w:jc w:val="left"/>
            </w:pPr>
            <w:r>
              <w:t>Automated diagnostic reporting execution terminal output</w:t>
            </w:r>
          </w:p>
        </w:tc>
        <w:tc>
          <w:tcPr>
            <w:tcW w:type="dxa" w:w="1152"/>
            <w:tcMar>
              <w:top w:w="20" w:type="dxa"/>
              <w:bottom w:w="20" w:type="dxa"/>
              <w:left w:w="35" w:type="dxa"/>
              <w:right w:w="35" w:type="dxa"/>
            </w:tcMar>
          </w:tcPr>
          <w:p>
            <w:pPr>
              <w:spacing w:before="30" w:after="30"/>
              <w:jc w:val="center"/>
            </w:pPr>
            <w:r>
              <w:t>33</w:t>
            </w:r>
          </w:p>
        </w:tc>
      </w:tr>
      <w:tr>
        <w:tc>
          <w:tcPr>
            <w:tcW w:type="dxa" w:w="1296"/>
            <w:tcMar>
              <w:top w:w="20" w:type="dxa"/>
              <w:bottom w:w="20" w:type="dxa"/>
              <w:left w:w="35" w:type="dxa"/>
              <w:right w:w="35" w:type="dxa"/>
            </w:tcMar>
          </w:tcPr>
          <w:p>
            <w:pPr>
              <w:spacing w:before="30" w:after="30"/>
              <w:jc w:val="center"/>
            </w:pPr>
            <w:r>
              <w:t>Fig. 8.6</w:t>
            </w:r>
          </w:p>
        </w:tc>
        <w:tc>
          <w:tcPr>
            <w:tcW w:type="dxa" w:w="6480"/>
            <w:tcMar>
              <w:top w:w="20" w:type="dxa"/>
              <w:bottom w:w="20" w:type="dxa"/>
              <w:left w:w="35" w:type="dxa"/>
              <w:right w:w="35" w:type="dxa"/>
            </w:tcMar>
          </w:tcPr>
          <w:p>
            <w:pPr>
              <w:spacing w:before="30" w:after="30"/>
              <w:jc w:val="left"/>
            </w:pPr>
            <w:r>
              <w:t>Executive validation report markdown summary view</w:t>
            </w:r>
          </w:p>
        </w:tc>
        <w:tc>
          <w:tcPr>
            <w:tcW w:type="dxa" w:w="1152"/>
            <w:tcMar>
              <w:top w:w="20" w:type="dxa"/>
              <w:bottom w:w="20" w:type="dxa"/>
              <w:left w:w="35" w:type="dxa"/>
              <w:right w:w="35" w:type="dxa"/>
            </w:tcMar>
          </w:tcPr>
          <w:p>
            <w:pPr>
              <w:spacing w:before="30" w:after="30"/>
              <w:jc w:val="center"/>
            </w:pPr>
            <w:r>
              <w:t>33</w:t>
            </w:r>
          </w:p>
        </w:tc>
      </w:tr>
    </w:tbl>
    <w:p>
      <w:r>
        <w:br w:type="page"/>
      </w:r>
    </w:p>
    <w:p>
      <w:pPr>
        <w:spacing w:before="200" w:after="40" w:line="276" w:lineRule="auto"/>
        <w:jc w:val="center"/>
      </w:pPr>
      <w:r>
        <w:rPr>
          <w:rFonts w:ascii="Times New Roman" w:hAnsi="Times New Roman"/>
          <w:b/>
          <w:i w:val="0"/>
          <w:sz w:val="28"/>
        </w:rPr>
        <w:t>CHAPTER 1</w:t>
      </w:r>
    </w:p>
    <w:p>
      <w:pPr>
        <w:spacing w:before="0" w:after="280" w:line="276" w:lineRule="auto"/>
        <w:jc w:val="center"/>
      </w:pPr>
      <w:r>
        <w:rPr>
          <w:rFonts w:ascii="Times New Roman" w:hAnsi="Times New Roman"/>
          <w:b/>
          <w:i w:val="0"/>
          <w:sz w:val="28"/>
        </w:rPr>
        <w:t>INTRODUCTION</w:t>
      </w:r>
    </w:p>
    <w:p>
      <w:pPr>
        <w:spacing w:before="200" w:after="80" w:line="276" w:lineRule="auto"/>
        <w:jc w:val="left"/>
      </w:pPr>
      <w:r>
        <w:rPr>
          <w:rFonts w:ascii="Times New Roman" w:hAnsi="Times New Roman"/>
          <w:b/>
          <w:i w:val="0"/>
          <w:sz w:val="28"/>
        </w:rPr>
        <w:t>1.1 Introduction</w:t>
      </w:r>
    </w:p>
    <w:p>
      <w:pPr>
        <w:spacing w:before="0" w:after="120" w:line="276" w:lineRule="auto"/>
        <w:jc w:val="both"/>
      </w:pPr>
      <w:r>
        <w:rPr>
          <w:rFonts w:ascii="Times New Roman" w:hAnsi="Times New Roman"/>
          <w:b w:val="0"/>
          <w:i w:val="0"/>
          <w:sz w:val="24"/>
        </w:rPr>
        <w:t>In the contemporary global financial ecosystem, digital retail lending has experienced exponential growth, driven by the ubiquity of online banking, automated credit approval engines, and decentralized fintech platforms. While digitalization significantly reduces customer acquisition friction and shortens loan approval turnaround times, it simultaneously exposes financial institutions to sophisticated lending fraud, deliberate credit defaults, and organized syndicate attacks. Fraudulent loan applicants frequently manipulate financial records, misstate monthly income, conceal existing credit obligations, or leverage synthetic identities to extract capital without intent to repay.</w:t>
      </w:r>
    </w:p>
    <w:p>
      <w:pPr>
        <w:spacing w:before="0" w:after="120" w:line="276" w:lineRule="auto"/>
        <w:jc w:val="both"/>
      </w:pPr>
      <w:r>
        <w:rPr>
          <w:rFonts w:ascii="Times New Roman" w:hAnsi="Times New Roman"/>
          <w:b w:val="0"/>
          <w:i w:val="0"/>
          <w:sz w:val="24"/>
        </w:rPr>
        <w:t>According to industry risk benchmarks, unsecured lending fraud accounts for billions of dollars in annual charge-offs globally. Credit underwriters face a dual challenge: protecting institutions against catastrophic capital losses while avoiding excessive false alarms that burden operational review pipelines and alienate creditworthy borrowers. Machine learning (ML) classification systems provide a data-driven paradigm to address this dilemma. By discovering non-linear relationships and high-dimensional interactions across applicant profiles, ML models quantify multidimensional fraud vulnerability more effectively than rigid, univariate credit score cutoffs.</w:t>
      </w:r>
    </w:p>
    <w:p>
      <w:pPr>
        <w:spacing w:before="0" w:after="120" w:line="276" w:lineRule="auto"/>
        <w:jc w:val="both"/>
      </w:pPr>
      <w:r>
        <w:rPr>
          <w:rFonts w:ascii="Times New Roman" w:hAnsi="Times New Roman"/>
          <w:b w:val="0"/>
          <w:i w:val="0"/>
          <w:sz w:val="24"/>
        </w:rPr>
        <w:t>This project presents LoanGuard-AI: Loan Fraud Detection &amp; Risk Analysis, a robust, production-grade machine learning system designed to detect high-risk and fraudulent loan applications in real time. Built using scikit-learn and deployed via Streamlit, LoanGuard-AI trains a class-weighted Logistic Regression classifier on 50,000 comprehensive retail loan records. The system couples statistical discrimination with explainable underwriting factor attributions, empowering risk analysts with transparent, interpretable risk metrics.</w:t>
      </w:r>
    </w:p>
    <w:p>
      <w:pPr>
        <w:spacing w:before="200" w:after="80" w:line="276" w:lineRule="auto"/>
        <w:jc w:val="left"/>
      </w:pPr>
      <w:r>
        <w:rPr>
          <w:rFonts w:ascii="Times New Roman" w:hAnsi="Times New Roman"/>
          <w:b/>
          <w:i w:val="0"/>
          <w:sz w:val="28"/>
        </w:rPr>
        <w:t>1.2 Problem Statement</w:t>
      </w:r>
    </w:p>
    <w:p>
      <w:pPr>
        <w:spacing w:before="0" w:after="120" w:line="276" w:lineRule="auto"/>
        <w:jc w:val="both"/>
      </w:pPr>
      <w:r>
        <w:rPr>
          <w:rFonts w:ascii="Times New Roman" w:hAnsi="Times New Roman"/>
          <w:b w:val="0"/>
          <w:i w:val="0"/>
          <w:sz w:val="24"/>
        </w:rPr>
        <w:t>Detecting loan fraud in digital banking presents acute technical and operational hurdles. First, retail loan datasets suffer from severe class imbalance, where fraudulent applications typically represent less than 2% to 3% of total loan volume. Conventional machine learning algorithms optimizing for standard classification accuracy predictably collapse into the majority class, yielding superficially high accuracy while missing virtually all fraudulent transactions.</w:t>
      </w:r>
    </w:p>
    <w:p>
      <w:pPr>
        <w:spacing w:before="0" w:after="120" w:line="276" w:lineRule="auto"/>
        <w:jc w:val="both"/>
      </w:pPr>
      <w:r>
        <w:rPr>
          <w:rFonts w:ascii="Times New Roman" w:hAnsi="Times New Roman"/>
          <w:b w:val="0"/>
          <w:i w:val="0"/>
          <w:sz w:val="24"/>
        </w:rPr>
        <w:t>Second, financial fraud involves severe cost asymmetry: the financial cost of a False Negative (an undetected fraud default averaging $35,000 in direct principal loss) dwarfs the operational verification cost of a False Positive (manual underwriting audit averaging $150). Standard symmetric classifiers fail to reflect this commercial reality. Third, legacy credit scoring systems and opaque complex ensembles function as 'black boxes' that provide raw scores without explaining the underlying adverse factors.</w:t>
      </w:r>
    </w:p>
    <w:p>
      <w:r>
        <w:br w:type="page"/>
      </w:r>
    </w:p>
    <w:p>
      <w:pPr>
        <w:spacing w:before="0" w:after="120" w:line="276" w:lineRule="auto"/>
        <w:jc w:val="both"/>
      </w:pPr>
      <w:r>
        <w:rPr>
          <w:rFonts w:ascii="Times New Roman" w:hAnsi="Times New Roman"/>
          <w:b w:val="0"/>
          <w:i w:val="0"/>
          <w:sz w:val="24"/>
        </w:rPr>
        <w:t>There is therefore a critical need for an explainable, cost-sensitive machine learning framework that (a) cleans and validates loan application data, (b) penalizes fraud misses to balance severe class imbalance, (c) models financial loss trade-offs, (d) explains risk factors in plain language, and (e) is accessible via a practical underwriting interface. LoanGuard-AI addresses these needs.</w:t>
      </w:r>
    </w:p>
    <w:p>
      <w:pPr>
        <w:spacing w:before="200" w:after="80" w:line="276" w:lineRule="auto"/>
        <w:jc w:val="left"/>
      </w:pPr>
      <w:r>
        <w:rPr>
          <w:rFonts w:ascii="Times New Roman" w:hAnsi="Times New Roman"/>
          <w:b/>
          <w:i w:val="0"/>
          <w:sz w:val="28"/>
        </w:rPr>
        <w:t>1.3 Objectives of the Project</w:t>
      </w:r>
    </w:p>
    <w:p>
      <w:pPr>
        <w:spacing w:before="0" w:after="60" w:line="276" w:lineRule="auto"/>
        <w:jc w:val="both"/>
      </w:pPr>
      <w:r>
        <w:rPr>
          <w:rFonts w:ascii="Times New Roman" w:hAnsi="Times New Roman"/>
          <w:b w:val="0"/>
          <w:i w:val="0"/>
          <w:sz w:val="24"/>
        </w:rPr>
        <w:t>• To collect and preprocess a comprehensive retail loan dataset containing 50,000 application records and four core financial attributes.</w:t>
      </w:r>
    </w:p>
    <w:p>
      <w:pPr>
        <w:spacing w:before="0" w:after="60" w:line="276" w:lineRule="auto"/>
        <w:jc w:val="both"/>
      </w:pPr>
      <w:r>
        <w:rPr>
          <w:rFonts w:ascii="Times New Roman" w:hAnsi="Times New Roman"/>
          <w:b w:val="0"/>
          <w:i w:val="0"/>
          <w:sz w:val="24"/>
        </w:rPr>
        <w:t>• To perform systematic data cleaning, duplicate detection, and missing value verification to ensure dataset integrity.</w:t>
      </w:r>
    </w:p>
    <w:p>
      <w:pPr>
        <w:spacing w:before="0" w:after="60" w:line="276" w:lineRule="auto"/>
        <w:jc w:val="both"/>
      </w:pPr>
      <w:r>
        <w:rPr>
          <w:rFonts w:ascii="Times New Roman" w:hAnsi="Times New Roman"/>
          <w:b w:val="0"/>
          <w:i w:val="0"/>
          <w:sz w:val="24"/>
        </w:rPr>
        <w:t>• To conduct exploratory data analysis (class distribution, univariate distributions, correlation matrices, and box plots) to quantify risk factor dynamics.</w:t>
      </w:r>
    </w:p>
    <w:p>
      <w:pPr>
        <w:spacing w:before="0" w:after="60" w:line="276" w:lineRule="auto"/>
        <w:jc w:val="both"/>
      </w:pPr>
      <w:r>
        <w:rPr>
          <w:rFonts w:ascii="Times New Roman" w:hAnsi="Times New Roman"/>
          <w:b w:val="0"/>
          <w:i w:val="0"/>
          <w:sz w:val="24"/>
        </w:rPr>
        <w:t>• To implement and calibrate a cost-sensitive Logistic Regression classifier using balanced class weights to overcome severe class imbalance.</w:t>
      </w:r>
    </w:p>
    <w:p>
      <w:pPr>
        <w:spacing w:before="0" w:after="60" w:line="276" w:lineRule="auto"/>
        <w:jc w:val="both"/>
      </w:pPr>
      <w:r>
        <w:rPr>
          <w:rFonts w:ascii="Times New Roman" w:hAnsi="Times New Roman"/>
          <w:b w:val="0"/>
          <w:i w:val="0"/>
          <w:sz w:val="24"/>
        </w:rPr>
        <w:t>• To evaluate model discrimination using a rigorous multi-metric suite, including Balanced Accuracy, Precision, Recall, Specificity, PR-AUC, and ROC-AUC.</w:t>
      </w:r>
    </w:p>
    <w:p>
      <w:pPr>
        <w:spacing w:before="0" w:after="60" w:line="276" w:lineRule="auto"/>
        <w:jc w:val="both"/>
      </w:pPr>
      <w:r>
        <w:rPr>
          <w:rFonts w:ascii="Times New Roman" w:hAnsi="Times New Roman"/>
          <w:b w:val="0"/>
          <w:i w:val="0"/>
          <w:sz w:val="24"/>
        </w:rPr>
        <w:t>• To model financial loss exposure and cost tradeoffs by constructing a Financial Impact Cost Matrix reflecting actual charge-off economics.</w:t>
      </w:r>
    </w:p>
    <w:p>
      <w:pPr>
        <w:spacing w:before="0" w:after="60" w:line="276" w:lineRule="auto"/>
        <w:jc w:val="both"/>
      </w:pPr>
      <w:r>
        <w:rPr>
          <w:rFonts w:ascii="Times New Roman" w:hAnsi="Times New Roman"/>
          <w:b w:val="0"/>
          <w:i w:val="0"/>
          <w:sz w:val="24"/>
        </w:rPr>
        <w:t>• To optimize probability decision thresholds across cutoffs ranging from 0.10 to 0.90 to balance sensitivity and manual review overhead.</w:t>
      </w:r>
    </w:p>
    <w:p>
      <w:pPr>
        <w:spacing w:before="0" w:after="60" w:line="276" w:lineRule="auto"/>
        <w:jc w:val="both"/>
      </w:pPr>
      <w:r>
        <w:rPr>
          <w:rFonts w:ascii="Times New Roman" w:hAnsi="Times New Roman"/>
          <w:b w:val="0"/>
          <w:i w:val="0"/>
          <w:sz w:val="24"/>
        </w:rPr>
        <w:t>• To deploy the production model into an interactive, reactive Streamlit web dashboard providing real-time risk scores and plain-English factor breakdowns.</w:t>
      </w:r>
    </w:p>
    <w:p>
      <w:pPr>
        <w:spacing w:before="200" w:after="80" w:line="276" w:lineRule="auto"/>
        <w:jc w:val="left"/>
      </w:pPr>
      <w:r>
        <w:rPr>
          <w:rFonts w:ascii="Times New Roman" w:hAnsi="Times New Roman"/>
          <w:b/>
          <w:i w:val="0"/>
          <w:sz w:val="28"/>
        </w:rPr>
        <w:t>1.4 Scope of the Project</w:t>
      </w:r>
    </w:p>
    <w:p>
      <w:pPr>
        <w:spacing w:before="0" w:after="120" w:line="276" w:lineRule="auto"/>
        <w:jc w:val="both"/>
      </w:pPr>
      <w:r>
        <w:rPr>
          <w:rFonts w:ascii="Times New Roman" w:hAnsi="Times New Roman"/>
          <w:b w:val="0"/>
          <w:i w:val="0"/>
          <w:sz w:val="24"/>
        </w:rPr>
        <w:t>In scope: Binary classification of loan application fraud risk (Legitimate vs. Fraudulent) on retail unsecured lending applications; data cleaning and range validation; cost-sensitive Logistic Regression modeling with balanced weights; multi-metric evaluation on an unseen 10,000-sample holdout set; threshold optimization; financial loss modeling; transparent decision driver attribution; and a locally served Streamlit web dashboard.</w:t>
      </w:r>
    </w:p>
    <w:p>
      <w:pPr>
        <w:spacing w:before="0" w:after="120" w:line="276" w:lineRule="auto"/>
        <w:jc w:val="both"/>
      </w:pPr>
      <w:r>
        <w:rPr>
          <w:rFonts w:ascii="Times New Roman" w:hAnsi="Times New Roman"/>
          <w:b w:val="0"/>
          <w:i w:val="0"/>
          <w:sz w:val="24"/>
        </w:rPr>
        <w:t>Out of scope: Point-of-sale credit card transaction streaming, core banking ledger balance modifications, automated legal repossession workflows, and direct third-party credit bureau API scraping. The system functions as an advanced underwriting decision-support tool to augment human credit risk judgment rather than autonomously executing legal credit contracts.</w:t>
      </w:r>
    </w:p>
    <w:p>
      <w:r>
        <w:br w:type="page"/>
      </w:r>
    </w:p>
    <w:p>
      <w:pPr>
        <w:spacing w:before="200" w:after="40" w:line="276" w:lineRule="auto"/>
        <w:jc w:val="center"/>
      </w:pPr>
      <w:r>
        <w:rPr>
          <w:rFonts w:ascii="Times New Roman" w:hAnsi="Times New Roman"/>
          <w:b/>
          <w:i w:val="0"/>
          <w:sz w:val="28"/>
        </w:rPr>
        <w:t>CHAPTER 2</w:t>
      </w:r>
    </w:p>
    <w:p>
      <w:pPr>
        <w:spacing w:before="0" w:after="280" w:line="276" w:lineRule="auto"/>
        <w:jc w:val="center"/>
      </w:pPr>
      <w:r>
        <w:rPr>
          <w:rFonts w:ascii="Times New Roman" w:hAnsi="Times New Roman"/>
          <w:b/>
          <w:i w:val="0"/>
          <w:sz w:val="28"/>
        </w:rPr>
        <w:t>SYSTEM OVERVIEW</w:t>
      </w:r>
    </w:p>
    <w:p>
      <w:pPr>
        <w:spacing w:before="200" w:after="80" w:line="276" w:lineRule="auto"/>
        <w:jc w:val="left"/>
      </w:pPr>
      <w:r>
        <w:rPr>
          <w:rFonts w:ascii="Times New Roman" w:hAnsi="Times New Roman"/>
          <w:b/>
          <w:i w:val="0"/>
          <w:sz w:val="28"/>
        </w:rPr>
        <w:t>2.1 Existing System</w:t>
      </w:r>
    </w:p>
    <w:p>
      <w:pPr>
        <w:spacing w:before="0" w:after="120" w:line="276" w:lineRule="auto"/>
        <w:jc w:val="both"/>
      </w:pPr>
      <w:r>
        <w:rPr>
          <w:rFonts w:ascii="Times New Roman" w:hAnsi="Times New Roman"/>
          <w:b w:val="0"/>
          <w:i w:val="0"/>
          <w:sz w:val="24"/>
        </w:rPr>
        <w:t>In traditional banking architectures, loan application evaluation relies heavily on manual credit appraisal and static, rule-based scorecards. Underwriters inspect applicant paperwork, verify tax returns, and apply rigid cutoffs—such as disqualifying any applicant with a credit score below 650 or a debt-to-income ratio exceeding 40%. While straightforward, this approach operates on isolated univariate thresholds, failing to capture subtle multi-feature interactions where several moderately elevated risk indicators collectively signal high fraud probability.</w:t>
      </w:r>
    </w:p>
    <w:p>
      <w:pPr>
        <w:spacing w:before="0" w:after="120" w:line="276" w:lineRule="auto"/>
        <w:jc w:val="both"/>
      </w:pPr>
      <w:r>
        <w:rPr>
          <w:rFonts w:ascii="Times New Roman" w:hAnsi="Times New Roman"/>
          <w:b w:val="0"/>
          <w:i w:val="0"/>
          <w:sz w:val="24"/>
        </w:rPr>
        <w:t>Earlier computer-aided risk systems often deployed basic machine learning models trained directly on raw, imbalanced data without cost sensitivity. These legacy systems routinely reported misleading accuracy scores exceeding 95% while failing to intercept the vast majority of actual fraudulent applications.</w:t>
      </w:r>
    </w:p>
    <w:p>
      <w:pPr>
        <w:spacing w:before="200" w:after="80" w:line="276" w:lineRule="auto"/>
        <w:jc w:val="left"/>
      </w:pPr>
      <w:r>
        <w:rPr>
          <w:rFonts w:ascii="Times New Roman" w:hAnsi="Times New Roman"/>
          <w:b/>
          <w:i w:val="0"/>
          <w:sz w:val="28"/>
        </w:rPr>
        <w:t>2.2 Limitations of Existing System</w:t>
      </w:r>
    </w:p>
    <w:p>
      <w:pPr>
        <w:spacing w:before="0" w:after="60" w:line="276" w:lineRule="auto"/>
        <w:jc w:val="both"/>
      </w:pPr>
      <w:r>
        <w:rPr>
          <w:rFonts w:ascii="Times New Roman" w:hAnsi="Times New Roman"/>
          <w:b w:val="0"/>
          <w:i w:val="0"/>
          <w:sz w:val="24"/>
        </w:rPr>
        <w:t>• Manual credit reviews require extensive turnaround time (often several business days), causing customer friction in digital lending channels.</w:t>
      </w:r>
    </w:p>
    <w:p>
      <w:pPr>
        <w:spacing w:before="0" w:after="60" w:line="276" w:lineRule="auto"/>
        <w:jc w:val="both"/>
      </w:pPr>
      <w:r>
        <w:rPr>
          <w:rFonts w:ascii="Times New Roman" w:hAnsi="Times New Roman"/>
          <w:b w:val="0"/>
          <w:i w:val="0"/>
          <w:sz w:val="24"/>
        </w:rPr>
        <w:t>• Static cutoff heuristics evaluate one metric at a time, failing to detect coordinated fraud rings that deliberately engineer profiles just beneath individual cutoffs.</w:t>
      </w:r>
    </w:p>
    <w:p>
      <w:pPr>
        <w:spacing w:before="0" w:after="60" w:line="276" w:lineRule="auto"/>
        <w:jc w:val="both"/>
      </w:pPr>
      <w:r>
        <w:rPr>
          <w:rFonts w:ascii="Times New Roman" w:hAnsi="Times New Roman"/>
          <w:b w:val="0"/>
          <w:i w:val="0"/>
          <w:sz w:val="24"/>
        </w:rPr>
        <w:t>• Extreme class imbalance (~2% fraud incidence) causes naive classifiers to default to majority-class predictions, missing genuine fraudsters.</w:t>
      </w:r>
    </w:p>
    <w:p>
      <w:pPr>
        <w:spacing w:before="0" w:after="60" w:line="276" w:lineRule="auto"/>
        <w:jc w:val="both"/>
      </w:pPr>
      <w:r>
        <w:rPr>
          <w:rFonts w:ascii="Times New Roman" w:hAnsi="Times New Roman"/>
          <w:b w:val="0"/>
          <w:i w:val="0"/>
          <w:sz w:val="24"/>
        </w:rPr>
        <w:t>• Absence of financial cost matrix modeling treats all classification errors symmetrically, ignoring the massive disparity between charge-offs and manual audit costs.</w:t>
      </w:r>
    </w:p>
    <w:p>
      <w:pPr>
        <w:spacing w:before="0" w:after="60" w:line="276" w:lineRule="auto"/>
        <w:jc w:val="both"/>
      </w:pPr>
      <w:r>
        <w:rPr>
          <w:rFonts w:ascii="Times New Roman" w:hAnsi="Times New Roman"/>
          <w:b w:val="0"/>
          <w:i w:val="0"/>
          <w:sz w:val="24"/>
        </w:rPr>
        <w:t>• Opaque machine learning architectures act as uninterpretable black boxes, preventing credit analysts from understanding why an application was flagged.</w:t>
      </w:r>
    </w:p>
    <w:p>
      <w:pPr>
        <w:spacing w:before="0" w:after="60" w:line="276" w:lineRule="auto"/>
        <w:jc w:val="both"/>
      </w:pPr>
      <w:r>
        <w:rPr>
          <w:rFonts w:ascii="Times New Roman" w:hAnsi="Times New Roman"/>
          <w:b w:val="0"/>
          <w:i w:val="0"/>
          <w:sz w:val="24"/>
        </w:rPr>
        <w:t>• Results are typically confined to complex raw terminal logs, lacking an intuitive graphical dashboard for underwriting personnel.</w:t>
      </w:r>
    </w:p>
    <w:p>
      <w:pPr>
        <w:spacing w:before="200" w:after="80" w:line="276" w:lineRule="auto"/>
        <w:jc w:val="left"/>
      </w:pPr>
      <w:r>
        <w:rPr>
          <w:rFonts w:ascii="Times New Roman" w:hAnsi="Times New Roman"/>
          <w:b/>
          <w:i w:val="0"/>
          <w:sz w:val="28"/>
        </w:rPr>
        <w:t>2.3 Proposed System</w:t>
      </w:r>
    </w:p>
    <w:p>
      <w:pPr>
        <w:spacing w:before="0" w:after="120" w:line="276" w:lineRule="auto"/>
        <w:jc w:val="both"/>
      </w:pPr>
      <w:r>
        <w:rPr>
          <w:rFonts w:ascii="Times New Roman" w:hAnsi="Times New Roman"/>
          <w:b w:val="0"/>
          <w:i w:val="0"/>
          <w:sz w:val="24"/>
        </w:rPr>
        <w:t>The proposed system, LoanGuard-AI, overcomes these limitations through a comprehensive, modular machine learning pipeline. The system incorporates automated data ingestion and integrity validation, class-weighted Logistic Regression training, multi-metric diagnostic reporting, decision threshold optimization, and an interactive Streamlit web application. By utilizing inverse class frequency weighting, the model dynamically penalizes false negatives, enabling reliable fraud interception without synthetic data distortion. Transparent underwriting factor rules decompose risk scores into actionable, plain-English drivers.</w:t>
      </w:r>
    </w:p>
    <w:p>
      <w:r>
        <w:br w:type="page"/>
      </w:r>
    </w:p>
    <w:p>
      <w:pPr>
        <w:spacing w:before="0" w:after="120" w:line="276" w:lineRule="auto"/>
        <w:jc w:val="both"/>
      </w:pPr>
      <w:r>
        <w:rPr>
          <w:rFonts w:ascii="Times New Roman" w:hAnsi="Times New Roman"/>
          <w:b w:val="0"/>
          <w:i w:val="0"/>
          <w:sz w:val="24"/>
        </w:rPr>
        <w:t>Furthermore, LoanGuard-AI incorporates an automated financial impact suite that models actual loss exposure, showing that model intervention successfully mitigates over $2.58 million in capital losses across a 10,000-loan portfolio. The Streamlit dashboard provides reactive parameter inputs, real-time fraud probability gauges, risk tier classifications, and underwriting recommendations, delivering an end-to-end decision-support solution for modern credit teams.</w:t>
      </w:r>
    </w:p>
    <w:p>
      <w:pPr>
        <w:spacing w:before="200" w:after="80" w:line="276" w:lineRule="auto"/>
        <w:jc w:val="left"/>
      </w:pPr>
      <w:r>
        <w:rPr>
          <w:rFonts w:ascii="Times New Roman" w:hAnsi="Times New Roman"/>
          <w:b/>
          <w:i w:val="0"/>
          <w:sz w:val="28"/>
        </w:rPr>
        <w:t>2.4 Software Requirements</w:t>
      </w:r>
    </w:p>
    <w:p>
      <w:pPr>
        <w:spacing w:before="0" w:after="60" w:line="276" w:lineRule="auto"/>
        <w:jc w:val="both"/>
      </w:pPr>
      <w:r>
        <w:rPr>
          <w:rFonts w:ascii="Times New Roman" w:hAnsi="Times New Roman"/>
          <w:b w:val="0"/>
          <w:i w:val="0"/>
          <w:sz w:val="24"/>
        </w:rPr>
        <w:t>• Operating System: Windows 10/11, Linux (Ubuntu 20.04+), or macOS (Monterey+)</w:t>
      </w:r>
    </w:p>
    <w:p>
      <w:pPr>
        <w:spacing w:before="0" w:after="60" w:line="276" w:lineRule="auto"/>
        <w:jc w:val="both"/>
      </w:pPr>
      <w:r>
        <w:rPr>
          <w:rFonts w:ascii="Times New Roman" w:hAnsi="Times New Roman"/>
          <w:b w:val="0"/>
          <w:i w:val="0"/>
          <w:sz w:val="24"/>
        </w:rPr>
        <w:t>• Programming Language: Python 3.10 or higher (fully tested and verified with Python 3.12)</w:t>
      </w:r>
    </w:p>
    <w:p>
      <w:pPr>
        <w:spacing w:before="0" w:after="60" w:line="276" w:lineRule="auto"/>
        <w:jc w:val="both"/>
      </w:pPr>
      <w:r>
        <w:rPr>
          <w:rFonts w:ascii="Times New Roman" w:hAnsi="Times New Roman"/>
          <w:b w:val="0"/>
          <w:i w:val="0"/>
          <w:sz w:val="24"/>
        </w:rPr>
        <w:t>• Machine Learning Libraries: scikit-learn (1.9.1), numpy (2.5.3), scipy (1.18.1)</w:t>
      </w:r>
    </w:p>
    <w:p>
      <w:pPr>
        <w:spacing w:before="0" w:after="60" w:line="276" w:lineRule="auto"/>
        <w:jc w:val="both"/>
      </w:pPr>
      <w:r>
        <w:rPr>
          <w:rFonts w:ascii="Times New Roman" w:hAnsi="Times New Roman"/>
          <w:b w:val="0"/>
          <w:i w:val="0"/>
          <w:sz w:val="24"/>
        </w:rPr>
        <w:t>• Data Manipulation &amp; Analytics: pandas (3.0.6)</w:t>
      </w:r>
    </w:p>
    <w:p>
      <w:pPr>
        <w:spacing w:before="0" w:after="60" w:line="276" w:lineRule="auto"/>
        <w:jc w:val="both"/>
      </w:pPr>
      <w:r>
        <w:rPr>
          <w:rFonts w:ascii="Times New Roman" w:hAnsi="Times New Roman"/>
          <w:b w:val="0"/>
          <w:i w:val="0"/>
          <w:sz w:val="24"/>
        </w:rPr>
        <w:t>• Visualization &amp; Diagnostics: matplotlib (3.11.2), seaborn (0.13.2)</w:t>
      </w:r>
    </w:p>
    <w:p>
      <w:pPr>
        <w:spacing w:before="0" w:after="60" w:line="276" w:lineRule="auto"/>
        <w:jc w:val="both"/>
      </w:pPr>
      <w:r>
        <w:rPr>
          <w:rFonts w:ascii="Times New Roman" w:hAnsi="Times New Roman"/>
          <w:b w:val="0"/>
          <w:i w:val="0"/>
          <w:sz w:val="24"/>
        </w:rPr>
        <w:t>• Web Application Framework: streamlit (1.64.0)</w:t>
      </w:r>
    </w:p>
    <w:p>
      <w:pPr>
        <w:spacing w:before="0" w:after="60" w:line="276" w:lineRule="auto"/>
        <w:jc w:val="both"/>
      </w:pPr>
      <w:r>
        <w:rPr>
          <w:rFonts w:ascii="Times New Roman" w:hAnsi="Times New Roman"/>
          <w:b w:val="0"/>
          <w:i w:val="0"/>
          <w:sz w:val="24"/>
        </w:rPr>
        <w:t>• Model Persistence: joblib (1.6.0)</w:t>
      </w:r>
    </w:p>
    <w:p>
      <w:pPr>
        <w:spacing w:before="0" w:after="60" w:line="276" w:lineRule="auto"/>
        <w:jc w:val="both"/>
      </w:pPr>
      <w:r>
        <w:rPr>
          <w:rFonts w:ascii="Times New Roman" w:hAnsi="Times New Roman"/>
          <w:b w:val="0"/>
          <w:i w:val="0"/>
          <w:sz w:val="24"/>
        </w:rPr>
        <w:t>• Integrated Development Environment: Visual Studio Code / Jupyter Notebook</w:t>
      </w:r>
    </w:p>
    <w:p>
      <w:pPr>
        <w:spacing w:before="0" w:after="60" w:line="276" w:lineRule="auto"/>
        <w:jc w:val="both"/>
      </w:pPr>
      <w:r>
        <w:rPr>
          <w:rFonts w:ascii="Times New Roman" w:hAnsi="Times New Roman"/>
          <w:b w:val="0"/>
          <w:i w:val="0"/>
          <w:sz w:val="24"/>
        </w:rPr>
        <w:t>• Web Browser: Google Chrome, Mozilla Firefox, Microsoft Edge, or Safari</w:t>
      </w:r>
    </w:p>
    <w:p>
      <w:pPr>
        <w:spacing w:before="0" w:after="60" w:line="276" w:lineRule="auto"/>
        <w:jc w:val="both"/>
      </w:pPr>
      <w:r>
        <w:rPr>
          <w:rFonts w:ascii="Times New Roman" w:hAnsi="Times New Roman"/>
          <w:b w:val="0"/>
          <w:i w:val="0"/>
          <w:sz w:val="24"/>
        </w:rPr>
        <w:t>• Data Format: Comma-Separated Values (CSV)</w:t>
      </w:r>
    </w:p>
    <w:p>
      <w:pPr>
        <w:spacing w:before="200" w:after="80" w:line="276" w:lineRule="auto"/>
        <w:jc w:val="left"/>
      </w:pPr>
      <w:r>
        <w:rPr>
          <w:rFonts w:ascii="Times New Roman" w:hAnsi="Times New Roman"/>
          <w:b/>
          <w:i w:val="0"/>
          <w:sz w:val="28"/>
        </w:rPr>
        <w:t>2.5 Hardware Requirements</w:t>
      </w:r>
    </w:p>
    <w:p>
      <w:pPr>
        <w:spacing w:before="0" w:after="60" w:line="276" w:lineRule="auto"/>
        <w:jc w:val="both"/>
      </w:pPr>
      <w:r>
        <w:rPr>
          <w:rFonts w:ascii="Times New Roman" w:hAnsi="Times New Roman"/>
          <w:b w:val="0"/>
          <w:i w:val="0"/>
          <w:sz w:val="24"/>
        </w:rPr>
        <w:t>• Processor: Intel Core i3 / AMD Ryzen 3 or higher (Core i5 / Ryzen 5 recommended)</w:t>
      </w:r>
    </w:p>
    <w:p>
      <w:pPr>
        <w:spacing w:before="0" w:after="60" w:line="276" w:lineRule="auto"/>
        <w:jc w:val="both"/>
      </w:pPr>
      <w:r>
        <w:rPr>
          <w:rFonts w:ascii="Times New Roman" w:hAnsi="Times New Roman"/>
          <w:b w:val="0"/>
          <w:i w:val="0"/>
          <w:sz w:val="24"/>
        </w:rPr>
        <w:t>• RAM: 4 GB minimum (8 GB or higher recommended for high-dimensional matrix operations)</w:t>
      </w:r>
    </w:p>
    <w:p>
      <w:pPr>
        <w:spacing w:before="0" w:after="60" w:line="276" w:lineRule="auto"/>
        <w:jc w:val="both"/>
      </w:pPr>
      <w:r>
        <w:rPr>
          <w:rFonts w:ascii="Times New Roman" w:hAnsi="Times New Roman"/>
          <w:b w:val="0"/>
          <w:i w:val="0"/>
          <w:sz w:val="24"/>
        </w:rPr>
        <w:t>• Storage: 500 MB free hard disk space for repository files, trained model binaries, and visual artifacts</w:t>
      </w:r>
    </w:p>
    <w:p>
      <w:pPr>
        <w:spacing w:before="0" w:after="60" w:line="276" w:lineRule="auto"/>
        <w:jc w:val="both"/>
      </w:pPr>
      <w:r>
        <w:rPr>
          <w:rFonts w:ascii="Times New Roman" w:hAnsi="Times New Roman"/>
          <w:b w:val="0"/>
          <w:i w:val="0"/>
          <w:sz w:val="24"/>
        </w:rPr>
        <w:t>• System Architecture: 64-bit operating system and processor</w:t>
      </w:r>
    </w:p>
    <w:p>
      <w:pPr>
        <w:spacing w:before="0" w:after="60" w:line="276" w:lineRule="auto"/>
        <w:jc w:val="both"/>
      </w:pPr>
      <w:r>
        <w:rPr>
          <w:rFonts w:ascii="Times New Roman" w:hAnsi="Times New Roman"/>
          <w:b w:val="0"/>
          <w:i w:val="0"/>
          <w:sz w:val="24"/>
        </w:rPr>
        <w:t>• Network Connectivity: Required once during environment setup for pip package installation and dataset download</w:t>
      </w:r>
    </w:p>
    <w:p>
      <w:r>
        <w:br w:type="page"/>
      </w:r>
    </w:p>
    <w:p>
      <w:pPr>
        <w:spacing w:before="200" w:after="40" w:line="276" w:lineRule="auto"/>
        <w:jc w:val="center"/>
      </w:pPr>
      <w:r>
        <w:rPr>
          <w:rFonts w:ascii="Times New Roman" w:hAnsi="Times New Roman"/>
          <w:b/>
          <w:i w:val="0"/>
          <w:sz w:val="28"/>
        </w:rPr>
        <w:t>CHAPTER 3</w:t>
      </w:r>
    </w:p>
    <w:p>
      <w:pPr>
        <w:spacing w:before="0" w:after="280" w:line="276" w:lineRule="auto"/>
        <w:jc w:val="center"/>
      </w:pPr>
      <w:r>
        <w:rPr>
          <w:rFonts w:ascii="Times New Roman" w:hAnsi="Times New Roman"/>
          <w:b/>
          <w:i w:val="0"/>
          <w:sz w:val="28"/>
        </w:rPr>
        <w:t>SYSTEM IMPLEMENTATION</w:t>
      </w:r>
    </w:p>
    <w:p>
      <w:pPr>
        <w:spacing w:before="200" w:after="80" w:line="276" w:lineRule="auto"/>
        <w:jc w:val="left"/>
      </w:pPr>
      <w:r>
        <w:rPr>
          <w:rFonts w:ascii="Times New Roman" w:hAnsi="Times New Roman"/>
          <w:b/>
          <w:i w:val="0"/>
          <w:sz w:val="28"/>
        </w:rPr>
        <w:t>3.1 Overview of Development Tools</w:t>
      </w:r>
    </w:p>
    <w:p>
      <w:pPr>
        <w:spacing w:before="160" w:after="60" w:line="276" w:lineRule="auto"/>
        <w:jc w:val="left"/>
      </w:pPr>
      <w:r>
        <w:rPr>
          <w:rFonts w:ascii="Times New Roman" w:hAnsi="Times New Roman"/>
          <w:b/>
          <w:i w:val="0"/>
          <w:sz w:val="24"/>
        </w:rPr>
        <w:t>3.1.1 Development Environment: Python and Visual Studio Code</w:t>
      </w:r>
    </w:p>
    <w:p>
      <w:pPr>
        <w:spacing w:before="0" w:after="120" w:line="276" w:lineRule="auto"/>
        <w:jc w:val="both"/>
      </w:pPr>
      <w:r>
        <w:rPr>
          <w:rFonts w:ascii="Times New Roman" w:hAnsi="Times New Roman"/>
          <w:b w:val="0"/>
          <w:i w:val="0"/>
          <w:sz w:val="24"/>
        </w:rPr>
        <w:t>LoanGuard-AI is implemented in Python due to its industry-standard data science ecosystem and robust statistical modeling capabilities. Development was conducted within Visual Studio Code, leveraging an isolated virtual environment (.venv) to ensure strict dependency management. Rather than relying solely on monolithic exploratory notebooks, the codebase is architected as a clean modular suite of standalone scripts: data cleaning (data_cleaning.py), model fitting (train_model.py), diagnostic reporting (report_generation/generate_reports.py), and web deployment (app.py). Figure 3.1 illustrates the project directory structure and execution environment.</w:t>
      </w:r>
    </w:p>
    <w:p>
      <w:pPr>
        <w:spacing w:before="80" w:after="40"/>
        <w:jc w:val="center"/>
      </w:pPr>
      <w:r>
        <w:drawing>
          <wp:inline xmlns:a="http://schemas.openxmlformats.org/drawingml/2006/main" xmlns:pic="http://schemas.openxmlformats.org/drawingml/2006/picture">
            <wp:extent cx="5120640" cy="3373598"/>
            <wp:docPr id="2" name="Picture 2"/>
            <wp:cNvGraphicFramePr>
              <a:graphicFrameLocks noChangeAspect="1"/>
            </wp:cNvGraphicFramePr>
            <a:graphic>
              <a:graphicData uri="http://schemas.openxmlformats.org/drawingml/2006/picture">
                <pic:pic>
                  <pic:nvPicPr>
                    <pic:cNvPr id="0" name="fig_3_1_folder_structure.png"/>
                    <pic:cNvPicPr/>
                  </pic:nvPicPr>
                  <pic:blipFill>
                    <a:blip r:embed="rId10"/>
                    <a:stretch>
                      <a:fillRect/>
                    </a:stretch>
                  </pic:blipFill>
                  <pic:spPr>
                    <a:xfrm>
                      <a:off x="0" y="0"/>
                      <a:ext cx="5120640" cy="3373598"/>
                    </a:xfrm>
                    <a:prstGeom prst="rect"/>
                  </pic:spPr>
                </pic:pic>
              </a:graphicData>
            </a:graphic>
          </wp:inline>
        </w:drawing>
      </w:r>
    </w:p>
    <w:p>
      <w:pPr>
        <w:spacing w:before="80" w:after="160" w:line="276" w:lineRule="auto"/>
        <w:jc w:val="center"/>
      </w:pPr>
      <w:r>
        <w:rPr>
          <w:rFonts w:ascii="Times New Roman" w:hAnsi="Times New Roman"/>
          <w:b w:val="0"/>
          <w:i w:val="0"/>
          <w:sz w:val="22"/>
        </w:rPr>
        <w:t>Fig. 3.1 Development environment setup and project folder structure</w:t>
      </w:r>
    </w:p>
    <w:p>
      <w:pPr>
        <w:spacing w:before="160" w:after="60" w:line="276" w:lineRule="auto"/>
        <w:jc w:val="left"/>
      </w:pPr>
      <w:r>
        <w:rPr>
          <w:rFonts w:ascii="Times New Roman" w:hAnsi="Times New Roman"/>
          <w:b/>
          <w:i w:val="0"/>
          <w:sz w:val="24"/>
        </w:rPr>
        <w:t>3.1.2 ML Library / Framework: scikit-learn, pandas, numpy and Streamlit</w:t>
      </w:r>
    </w:p>
    <w:p>
      <w:pPr>
        <w:spacing w:before="0" w:after="120" w:line="276" w:lineRule="auto"/>
        <w:jc w:val="both"/>
      </w:pPr>
      <w:r>
        <w:rPr>
          <w:rFonts w:ascii="Times New Roman" w:hAnsi="Times New Roman"/>
          <w:b w:val="0"/>
          <w:i w:val="0"/>
          <w:sz w:val="24"/>
        </w:rPr>
        <w:t>The project leverages scikit-learn for model training, stratified partitioning, and comprehensive diagnostic evaluation. Pandas and NumPy manage high-performance tabular data ingestion and matrix vectorization. Matplotlib and Seaborn render the 10-chart diagnostic validation suite, and Streamlit serves the reactive web dashboard. All packages are reproducible via requirements.txt.</w:t>
      </w:r>
    </w:p>
    <w:p>
      <w:r>
        <w:br w:type="page"/>
      </w:r>
    </w:p>
    <w:p>
      <w:pPr>
        <w:spacing w:before="80" w:after="40"/>
        <w:jc w:val="center"/>
      </w:pPr>
      <w:r>
        <w:drawing>
          <wp:inline xmlns:a="http://schemas.openxmlformats.org/drawingml/2006/main" xmlns:pic="http://schemas.openxmlformats.org/drawingml/2006/picture">
            <wp:extent cx="5120640" cy="3132627"/>
            <wp:docPr id="3" name="Picture 3"/>
            <wp:cNvGraphicFramePr>
              <a:graphicFrameLocks noChangeAspect="1"/>
            </wp:cNvGraphicFramePr>
            <a:graphic>
              <a:graphicData uri="http://schemas.openxmlformats.org/drawingml/2006/picture">
                <pic:pic>
                  <pic:nvPicPr>
                    <pic:cNvPr id="0" name="fig_3_2_library_versions.png"/>
                    <pic:cNvPicPr/>
                  </pic:nvPicPr>
                  <pic:blipFill>
                    <a:blip r:embed="rId11"/>
                    <a:stretch>
                      <a:fillRect/>
                    </a:stretch>
                  </pic:blipFill>
                  <pic:spPr>
                    <a:xfrm>
                      <a:off x="0" y="0"/>
                      <a:ext cx="5120640" cy="3132627"/>
                    </a:xfrm>
                    <a:prstGeom prst="rect"/>
                  </pic:spPr>
                </pic:pic>
              </a:graphicData>
            </a:graphic>
          </wp:inline>
        </w:drawing>
      </w:r>
    </w:p>
    <w:p>
      <w:pPr>
        <w:spacing w:before="80" w:after="160" w:line="276" w:lineRule="auto"/>
        <w:jc w:val="center"/>
      </w:pPr>
      <w:r>
        <w:rPr>
          <w:rFonts w:ascii="Times New Roman" w:hAnsi="Times New Roman"/>
          <w:b w:val="0"/>
          <w:i w:val="0"/>
          <w:sz w:val="22"/>
        </w:rPr>
        <w:t>Fig. 3.2 Installed library versions</w:t>
      </w:r>
    </w:p>
    <w:p>
      <w:pPr>
        <w:spacing w:before="200" w:after="80" w:line="276" w:lineRule="auto"/>
        <w:jc w:val="left"/>
      </w:pPr>
      <w:r>
        <w:rPr>
          <w:rFonts w:ascii="Times New Roman" w:hAnsi="Times New Roman"/>
          <w:b/>
          <w:i w:val="0"/>
          <w:sz w:val="28"/>
        </w:rPr>
        <w:t>3.2 Dataset Description</w:t>
      </w:r>
    </w:p>
    <w:p>
      <w:pPr>
        <w:spacing w:before="0" w:after="120" w:line="276" w:lineRule="auto"/>
        <w:jc w:val="both"/>
      </w:pPr>
      <w:r>
        <w:rPr>
          <w:rFonts w:ascii="Times New Roman" w:hAnsi="Times New Roman"/>
          <w:b w:val="0"/>
          <w:i w:val="0"/>
          <w:sz w:val="24"/>
        </w:rPr>
        <w:t>The project utilizes the Kaggle Loan Application &amp; Transaction Fraud Detection benchmark dataset, comprising 50,000 individual loan application records. The dataset captures essential underwriting financial indicators alongside ground-truth fraud labels (fraud_flag: 0 = Legitimate, 1 = Fraudulent). Table 3.1 details the evaluated features, descriptions, units, and operational numerical ranges after data cleaning.</w:t>
      </w:r>
    </w:p>
    <w:p>
      <w:pPr>
        <w:spacing w:before="160" w:after="60" w:line="276" w:lineRule="auto"/>
        <w:jc w:val="left"/>
      </w:pPr>
      <w:r>
        <w:rPr>
          <w:rFonts w:ascii="Times New Roman" w:hAnsi="Times New Roman"/>
          <w:b/>
          <w:i w:val="0"/>
          <w:sz w:val="24"/>
        </w:rPr>
        <w:t>Table 3.1: Dataset features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2257"/>
        <w:gridCol w:w="2257"/>
        <w:gridCol w:w="2257"/>
        <w:gridCol w:w="2257"/>
      </w:tblGrid>
      <w:tr>
        <w:tc>
          <w:tcPr>
            <w:tcW w:type="dxa" w:w="2160"/>
            <w:shd w:fill="F5F5F5"/>
            <w:tcMar>
              <w:top w:w="30" w:type="dxa"/>
              <w:bottom w:w="30" w:type="dxa"/>
              <w:left w:w="40" w:type="dxa"/>
              <w:right w:w="40" w:type="dxa"/>
            </w:tcMar>
          </w:tcPr>
          <w:p>
            <w:pPr>
              <w:jc w:val="left"/>
            </w:pPr>
            <w:r>
              <w:rPr>
                <w:b/>
              </w:rPr>
              <w:t>Feature Name</w:t>
            </w:r>
          </w:p>
        </w:tc>
        <w:tc>
          <w:tcPr>
            <w:tcW w:type="dxa" w:w="3312"/>
            <w:shd w:fill="F5F5F5"/>
            <w:tcMar>
              <w:top w:w="30" w:type="dxa"/>
              <w:bottom w:w="30" w:type="dxa"/>
              <w:left w:w="40" w:type="dxa"/>
              <w:right w:w="40" w:type="dxa"/>
            </w:tcMar>
          </w:tcPr>
          <w:p>
            <w:pPr>
              <w:jc w:val="left"/>
            </w:pPr>
            <w:r>
              <w:rPr>
                <w:b/>
              </w:rPr>
              <w:t>Description</w:t>
            </w:r>
          </w:p>
        </w:tc>
        <w:tc>
          <w:tcPr>
            <w:tcW w:type="dxa" w:w="1440"/>
            <w:shd w:fill="F5F5F5"/>
            <w:tcMar>
              <w:top w:w="30" w:type="dxa"/>
              <w:bottom w:w="30" w:type="dxa"/>
              <w:left w:w="40" w:type="dxa"/>
              <w:right w:w="40" w:type="dxa"/>
            </w:tcMar>
          </w:tcPr>
          <w:p>
            <w:pPr>
              <w:jc w:val="center"/>
            </w:pPr>
            <w:r>
              <w:rPr>
                <w:b/>
              </w:rPr>
              <w:t>Unit</w:t>
            </w:r>
          </w:p>
        </w:tc>
        <w:tc>
          <w:tcPr>
            <w:tcW w:type="dxa" w:w="2016"/>
            <w:shd w:fill="F5F5F5"/>
            <w:tcMar>
              <w:top w:w="30" w:type="dxa"/>
              <w:bottom w:w="30" w:type="dxa"/>
              <w:left w:w="40" w:type="dxa"/>
              <w:right w:w="40" w:type="dxa"/>
            </w:tcMar>
          </w:tcPr>
          <w:p>
            <w:pPr>
              <w:jc w:val="center"/>
            </w:pPr>
            <w:r>
              <w:rPr>
                <w:b/>
              </w:rPr>
              <w:t>Range (Post-Cleaning)</w:t>
            </w:r>
          </w:p>
        </w:tc>
      </w:tr>
      <w:tr>
        <w:tc>
          <w:tcPr>
            <w:tcW w:type="dxa" w:w="2160"/>
            <w:tcMar>
              <w:top w:w="30" w:type="dxa"/>
              <w:bottom w:w="30" w:type="dxa"/>
              <w:left w:w="40" w:type="dxa"/>
              <w:right w:w="40" w:type="dxa"/>
            </w:tcMar>
          </w:tcPr>
          <w:p>
            <w:pPr>
              <w:jc w:val="left"/>
            </w:pPr>
            <w:r>
              <w:t>loan_amount_requested</w:t>
            </w:r>
          </w:p>
        </w:tc>
        <w:tc>
          <w:tcPr>
            <w:tcW w:type="dxa" w:w="3312"/>
            <w:tcMar>
              <w:top w:w="30" w:type="dxa"/>
              <w:bottom w:w="30" w:type="dxa"/>
              <w:left w:w="40" w:type="dxa"/>
              <w:right w:w="40" w:type="dxa"/>
            </w:tcMar>
          </w:tcPr>
          <w:p>
            <w:pPr>
              <w:jc w:val="left"/>
            </w:pPr>
            <w:r>
              <w:t>Principal loan amount applied for by borrower</w:t>
            </w:r>
          </w:p>
        </w:tc>
        <w:tc>
          <w:tcPr>
            <w:tcW w:type="dxa" w:w="1440"/>
            <w:tcMar>
              <w:top w:w="30" w:type="dxa"/>
              <w:bottom w:w="30" w:type="dxa"/>
              <w:left w:w="40" w:type="dxa"/>
              <w:right w:w="40" w:type="dxa"/>
            </w:tcMar>
          </w:tcPr>
          <w:p>
            <w:pPr>
              <w:jc w:val="center"/>
            </w:pPr>
            <w:r>
              <w:t>USD ($)</w:t>
            </w:r>
          </w:p>
        </w:tc>
        <w:tc>
          <w:tcPr>
            <w:tcW w:type="dxa" w:w="2016"/>
            <w:tcMar>
              <w:top w:w="30" w:type="dxa"/>
              <w:bottom w:w="30" w:type="dxa"/>
              <w:left w:w="40" w:type="dxa"/>
              <w:right w:w="40" w:type="dxa"/>
            </w:tcMar>
          </w:tcPr>
          <w:p>
            <w:pPr>
              <w:jc w:val="center"/>
            </w:pPr>
            <w:r>
              <w:t>$1,000 – $2,000,000</w:t>
            </w:r>
          </w:p>
        </w:tc>
      </w:tr>
      <w:tr>
        <w:tc>
          <w:tcPr>
            <w:tcW w:type="dxa" w:w="2160"/>
            <w:tcMar>
              <w:top w:w="30" w:type="dxa"/>
              <w:bottom w:w="30" w:type="dxa"/>
              <w:left w:w="40" w:type="dxa"/>
              <w:right w:w="40" w:type="dxa"/>
            </w:tcMar>
          </w:tcPr>
          <w:p>
            <w:pPr>
              <w:jc w:val="left"/>
            </w:pPr>
            <w:r>
              <w:t>monthly_income</w:t>
            </w:r>
          </w:p>
        </w:tc>
        <w:tc>
          <w:tcPr>
            <w:tcW w:type="dxa" w:w="3312"/>
            <w:tcMar>
              <w:top w:w="30" w:type="dxa"/>
              <w:bottom w:w="30" w:type="dxa"/>
              <w:left w:w="40" w:type="dxa"/>
              <w:right w:w="40" w:type="dxa"/>
            </w:tcMar>
          </w:tcPr>
          <w:p>
            <w:pPr>
              <w:jc w:val="left"/>
            </w:pPr>
            <w:r>
              <w:t>Verified gross monthly earnings of primary applicant</w:t>
            </w:r>
          </w:p>
        </w:tc>
        <w:tc>
          <w:tcPr>
            <w:tcW w:type="dxa" w:w="1440"/>
            <w:tcMar>
              <w:top w:w="30" w:type="dxa"/>
              <w:bottom w:w="30" w:type="dxa"/>
              <w:left w:w="40" w:type="dxa"/>
              <w:right w:w="40" w:type="dxa"/>
            </w:tcMar>
          </w:tcPr>
          <w:p>
            <w:pPr>
              <w:jc w:val="center"/>
            </w:pPr>
            <w:r>
              <w:t>USD ($)</w:t>
            </w:r>
          </w:p>
        </w:tc>
        <w:tc>
          <w:tcPr>
            <w:tcW w:type="dxa" w:w="2016"/>
            <w:tcMar>
              <w:top w:w="30" w:type="dxa"/>
              <w:bottom w:w="30" w:type="dxa"/>
              <w:left w:w="40" w:type="dxa"/>
              <w:right w:w="40" w:type="dxa"/>
            </w:tcMar>
          </w:tcPr>
          <w:p>
            <w:pPr>
              <w:jc w:val="center"/>
            </w:pPr>
            <w:r>
              <w:t>$500 – $500,000</w:t>
            </w:r>
          </w:p>
        </w:tc>
      </w:tr>
      <w:tr>
        <w:tc>
          <w:tcPr>
            <w:tcW w:type="dxa" w:w="2160"/>
            <w:tcMar>
              <w:top w:w="30" w:type="dxa"/>
              <w:bottom w:w="30" w:type="dxa"/>
              <w:left w:w="40" w:type="dxa"/>
              <w:right w:w="40" w:type="dxa"/>
            </w:tcMar>
          </w:tcPr>
          <w:p>
            <w:pPr>
              <w:jc w:val="left"/>
            </w:pPr>
            <w:r>
              <w:t>cibil_score</w:t>
            </w:r>
          </w:p>
        </w:tc>
        <w:tc>
          <w:tcPr>
            <w:tcW w:type="dxa" w:w="3312"/>
            <w:tcMar>
              <w:top w:w="30" w:type="dxa"/>
              <w:bottom w:w="30" w:type="dxa"/>
              <w:left w:w="40" w:type="dxa"/>
              <w:right w:w="40" w:type="dxa"/>
            </w:tcMar>
          </w:tcPr>
          <w:p>
            <w:pPr>
              <w:jc w:val="left"/>
            </w:pPr>
            <w:r>
              <w:t>Credit / CIBIL bureau rating score</w:t>
            </w:r>
          </w:p>
        </w:tc>
        <w:tc>
          <w:tcPr>
            <w:tcW w:type="dxa" w:w="1440"/>
            <w:tcMar>
              <w:top w:w="30" w:type="dxa"/>
              <w:bottom w:w="30" w:type="dxa"/>
              <w:left w:w="40" w:type="dxa"/>
              <w:right w:w="40" w:type="dxa"/>
            </w:tcMar>
          </w:tcPr>
          <w:p>
            <w:pPr>
              <w:jc w:val="center"/>
            </w:pPr>
            <w:r>
              <w:t>Rating points</w:t>
            </w:r>
          </w:p>
        </w:tc>
        <w:tc>
          <w:tcPr>
            <w:tcW w:type="dxa" w:w="2016"/>
            <w:tcMar>
              <w:top w:w="30" w:type="dxa"/>
              <w:bottom w:w="30" w:type="dxa"/>
              <w:left w:w="40" w:type="dxa"/>
              <w:right w:w="40" w:type="dxa"/>
            </w:tcMar>
          </w:tcPr>
          <w:p>
            <w:pPr>
              <w:jc w:val="center"/>
            </w:pPr>
            <w:r>
              <w:t>300 – 900</w:t>
            </w:r>
          </w:p>
        </w:tc>
      </w:tr>
      <w:tr>
        <w:tc>
          <w:tcPr>
            <w:tcW w:type="dxa" w:w="2160"/>
            <w:tcMar>
              <w:top w:w="30" w:type="dxa"/>
              <w:bottom w:w="30" w:type="dxa"/>
              <w:left w:w="40" w:type="dxa"/>
              <w:right w:w="40" w:type="dxa"/>
            </w:tcMar>
          </w:tcPr>
          <w:p>
            <w:pPr>
              <w:jc w:val="left"/>
            </w:pPr>
            <w:r>
              <w:t>debt_to_income_ratio</w:t>
            </w:r>
          </w:p>
        </w:tc>
        <w:tc>
          <w:tcPr>
            <w:tcW w:type="dxa" w:w="3312"/>
            <w:tcMar>
              <w:top w:w="30" w:type="dxa"/>
              <w:bottom w:w="30" w:type="dxa"/>
              <w:left w:w="40" w:type="dxa"/>
              <w:right w:w="40" w:type="dxa"/>
            </w:tcMar>
          </w:tcPr>
          <w:p>
            <w:pPr>
              <w:jc w:val="left"/>
            </w:pPr>
            <w:r>
              <w:t>Existing monthly debt obligations relative to income</w:t>
            </w:r>
          </w:p>
        </w:tc>
        <w:tc>
          <w:tcPr>
            <w:tcW w:type="dxa" w:w="1440"/>
            <w:tcMar>
              <w:top w:w="30" w:type="dxa"/>
              <w:bottom w:w="30" w:type="dxa"/>
              <w:left w:w="40" w:type="dxa"/>
              <w:right w:w="40" w:type="dxa"/>
            </w:tcMar>
          </w:tcPr>
          <w:p>
            <w:pPr>
              <w:jc w:val="center"/>
            </w:pPr>
            <w:r>
              <w:t>Percentage (%)</w:t>
            </w:r>
          </w:p>
        </w:tc>
        <w:tc>
          <w:tcPr>
            <w:tcW w:type="dxa" w:w="2016"/>
            <w:tcMar>
              <w:top w:w="30" w:type="dxa"/>
              <w:bottom w:w="30" w:type="dxa"/>
              <w:left w:w="40" w:type="dxa"/>
              <w:right w:w="40" w:type="dxa"/>
            </w:tcMar>
          </w:tcPr>
          <w:p>
            <w:pPr>
              <w:jc w:val="center"/>
            </w:pPr>
            <w:r>
              <w:t>0.0% – 100.0%</w:t>
            </w:r>
          </w:p>
        </w:tc>
      </w:tr>
      <w:tr>
        <w:tc>
          <w:tcPr>
            <w:tcW w:type="dxa" w:w="2160"/>
            <w:tcMar>
              <w:top w:w="30" w:type="dxa"/>
              <w:bottom w:w="30" w:type="dxa"/>
              <w:left w:w="40" w:type="dxa"/>
              <w:right w:w="40" w:type="dxa"/>
            </w:tcMar>
          </w:tcPr>
          <w:p>
            <w:pPr>
              <w:jc w:val="left"/>
            </w:pPr>
            <w:r>
              <w:t>fraud_flag (Target)</w:t>
            </w:r>
          </w:p>
        </w:tc>
        <w:tc>
          <w:tcPr>
            <w:tcW w:type="dxa" w:w="3312"/>
            <w:tcMar>
              <w:top w:w="30" w:type="dxa"/>
              <w:bottom w:w="30" w:type="dxa"/>
              <w:left w:w="40" w:type="dxa"/>
              <w:right w:w="40" w:type="dxa"/>
            </w:tcMar>
          </w:tcPr>
          <w:p>
            <w:pPr>
              <w:jc w:val="left"/>
            </w:pPr>
            <w:r>
              <w:t>Binary underwriting outcome (0 = Legitimate, 1 = Fraud)</w:t>
            </w:r>
          </w:p>
        </w:tc>
        <w:tc>
          <w:tcPr>
            <w:tcW w:type="dxa" w:w="1440"/>
            <w:tcMar>
              <w:top w:w="30" w:type="dxa"/>
              <w:bottom w:w="30" w:type="dxa"/>
              <w:left w:w="40" w:type="dxa"/>
              <w:right w:w="40" w:type="dxa"/>
            </w:tcMar>
          </w:tcPr>
          <w:p>
            <w:pPr>
              <w:jc w:val="center"/>
            </w:pPr>
            <w:r>
              <w:t>Binary class</w:t>
            </w:r>
          </w:p>
        </w:tc>
        <w:tc>
          <w:tcPr>
            <w:tcW w:type="dxa" w:w="2016"/>
            <w:tcMar>
              <w:top w:w="30" w:type="dxa"/>
              <w:bottom w:w="30" w:type="dxa"/>
              <w:left w:w="40" w:type="dxa"/>
              <w:right w:w="40" w:type="dxa"/>
            </w:tcMar>
          </w:tcPr>
          <w:p>
            <w:pPr>
              <w:jc w:val="center"/>
            </w:pPr>
            <w:r>
              <w:t>0 / 1</w:t>
            </w:r>
          </w:p>
        </w:tc>
      </w:tr>
    </w:tbl>
    <w:p>
      <w:pPr>
        <w:spacing w:before="200" w:after="120" w:line="276" w:lineRule="auto"/>
        <w:jc w:val="both"/>
      </w:pPr>
      <w:r>
        <w:rPr>
          <w:rFonts w:ascii="Times New Roman" w:hAnsi="Times New Roman"/>
          <w:b w:val="0"/>
          <w:i w:val="0"/>
          <w:sz w:val="24"/>
        </w:rPr>
        <w:t>The target variable exhibits extreme class imbalance representative of commercial banking portfolios: 48,975 applications (97.95%) are legitimate, while 1,025 applications (2.05%) represent confirmed fraud. Handling this 48:1 imbalance ratio is central to the methodology developed in Chapters 5 and 6.</w:t>
      </w:r>
    </w:p>
    <w:p>
      <w:r>
        <w:br w:type="page"/>
      </w:r>
    </w:p>
    <w:p>
      <w:pPr>
        <w:spacing w:before="200" w:after="80" w:line="276" w:lineRule="auto"/>
        <w:jc w:val="left"/>
      </w:pPr>
      <w:r>
        <w:rPr>
          <w:rFonts w:ascii="Times New Roman" w:hAnsi="Times New Roman"/>
          <w:b/>
          <w:i w:val="0"/>
          <w:sz w:val="28"/>
        </w:rPr>
        <w:t>3.3 Implementation Modules</w:t>
      </w:r>
    </w:p>
    <w:p>
      <w:pPr>
        <w:spacing w:before="160" w:after="60" w:line="276" w:lineRule="auto"/>
        <w:jc w:val="left"/>
      </w:pPr>
      <w:r>
        <w:rPr>
          <w:rFonts w:ascii="Times New Roman" w:hAnsi="Times New Roman"/>
          <w:b/>
          <w:i w:val="0"/>
          <w:sz w:val="24"/>
        </w:rPr>
        <w:t>Table 3.2: Project modules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3010"/>
        <w:gridCol w:w="3010"/>
        <w:gridCol w:w="3010"/>
      </w:tblGrid>
      <w:tr>
        <w:tc>
          <w:tcPr>
            <w:tcW w:type="dxa" w:w="1872"/>
            <w:shd w:fill="F5F5F5"/>
            <w:tcMar>
              <w:top w:w="30" w:type="dxa"/>
              <w:bottom w:w="30" w:type="dxa"/>
              <w:left w:w="40" w:type="dxa"/>
              <w:right w:w="40" w:type="dxa"/>
            </w:tcMar>
          </w:tcPr>
          <w:p>
            <w:pPr>
              <w:jc w:val="left"/>
            </w:pPr>
            <w:r>
              <w:rPr>
                <w:b/>
              </w:rPr>
              <w:t>Module (File)</w:t>
            </w:r>
          </w:p>
        </w:tc>
        <w:tc>
          <w:tcPr>
            <w:tcW w:type="dxa" w:w="3888"/>
            <w:shd w:fill="F5F5F5"/>
            <w:tcMar>
              <w:top w:w="30" w:type="dxa"/>
              <w:bottom w:w="30" w:type="dxa"/>
              <w:left w:w="40" w:type="dxa"/>
              <w:right w:w="40" w:type="dxa"/>
            </w:tcMar>
          </w:tcPr>
          <w:p>
            <w:pPr>
              <w:jc w:val="left"/>
            </w:pPr>
            <w:r>
              <w:rPr>
                <w:b/>
              </w:rPr>
              <w:t>Responsibility</w:t>
            </w:r>
          </w:p>
        </w:tc>
        <w:tc>
          <w:tcPr>
            <w:tcW w:type="dxa" w:w="3168"/>
            <w:shd w:fill="F5F5F5"/>
            <w:tcMar>
              <w:top w:w="30" w:type="dxa"/>
              <w:bottom w:w="30" w:type="dxa"/>
              <w:left w:w="40" w:type="dxa"/>
              <w:right w:w="40" w:type="dxa"/>
            </w:tcMar>
          </w:tcPr>
          <w:p>
            <w:pPr>
              <w:jc w:val="left"/>
            </w:pPr>
            <w:r>
              <w:rPr>
                <w:b/>
              </w:rPr>
              <w:t>Outputs</w:t>
            </w:r>
          </w:p>
        </w:tc>
      </w:tr>
      <w:tr>
        <w:tc>
          <w:tcPr>
            <w:tcW w:type="dxa" w:w="1872"/>
            <w:tcMar>
              <w:top w:w="30" w:type="dxa"/>
              <w:bottom w:w="30" w:type="dxa"/>
              <w:left w:w="40" w:type="dxa"/>
              <w:right w:w="40" w:type="dxa"/>
            </w:tcMar>
          </w:tcPr>
          <w:p>
            <w:pPr>
              <w:jc w:val="left"/>
            </w:pPr>
            <w:r>
              <w:t>data_cleaning.py</w:t>
            </w:r>
          </w:p>
        </w:tc>
        <w:tc>
          <w:tcPr>
            <w:tcW w:type="dxa" w:w="3888"/>
            <w:tcMar>
              <w:top w:w="30" w:type="dxa"/>
              <w:bottom w:w="30" w:type="dxa"/>
              <w:left w:w="40" w:type="dxa"/>
              <w:right w:w="40" w:type="dxa"/>
            </w:tcMar>
          </w:tcPr>
          <w:p>
            <w:pPr>
              <w:jc w:val="left"/>
            </w:pPr>
            <w:r>
              <w:t>Inspect raw data, drop non-predictive columns, verify nulls &amp; compute distribution</w:t>
            </w:r>
          </w:p>
        </w:tc>
        <w:tc>
          <w:tcPr>
            <w:tcW w:type="dxa" w:w="3168"/>
            <w:tcMar>
              <w:top w:w="30" w:type="dxa"/>
              <w:bottom w:w="30" w:type="dxa"/>
              <w:left w:w="40" w:type="dxa"/>
              <w:right w:w="40" w:type="dxa"/>
            </w:tcMar>
          </w:tcPr>
          <w:p>
            <w:pPr>
              <w:jc w:val="left"/>
            </w:pPr>
            <w:r>
              <w:t>Console statistics, cleaned dataset</w:t>
            </w:r>
          </w:p>
        </w:tc>
      </w:tr>
      <w:tr>
        <w:tc>
          <w:tcPr>
            <w:tcW w:type="dxa" w:w="1872"/>
            <w:tcMar>
              <w:top w:w="30" w:type="dxa"/>
              <w:bottom w:w="30" w:type="dxa"/>
              <w:left w:w="40" w:type="dxa"/>
              <w:right w:w="40" w:type="dxa"/>
            </w:tcMar>
          </w:tcPr>
          <w:p>
            <w:pPr>
              <w:jc w:val="left"/>
            </w:pPr>
            <w:r>
              <w:t>train_model.py</w:t>
            </w:r>
          </w:p>
        </w:tc>
        <w:tc>
          <w:tcPr>
            <w:tcW w:type="dxa" w:w="3888"/>
            <w:tcMar>
              <w:top w:w="30" w:type="dxa"/>
              <w:bottom w:w="30" w:type="dxa"/>
              <w:left w:w="40" w:type="dxa"/>
              <w:right w:w="40" w:type="dxa"/>
            </w:tcMar>
          </w:tcPr>
          <w:p>
            <w:pPr>
              <w:jc w:val="left"/>
            </w:pPr>
            <w:r>
              <w:t>Stratified train-test split, balanced logistic regression fitting, model export</w:t>
            </w:r>
          </w:p>
        </w:tc>
        <w:tc>
          <w:tcPr>
            <w:tcW w:type="dxa" w:w="3168"/>
            <w:tcMar>
              <w:top w:w="30" w:type="dxa"/>
              <w:bottom w:w="30" w:type="dxa"/>
              <w:left w:w="40" w:type="dxa"/>
              <w:right w:w="40" w:type="dxa"/>
            </w:tcMar>
          </w:tcPr>
          <w:p>
            <w:pPr>
              <w:jc w:val="left"/>
            </w:pPr>
            <w:r>
              <w:t>model.pkl, evaluation metrics</w:t>
            </w:r>
          </w:p>
        </w:tc>
      </w:tr>
      <w:tr>
        <w:tc>
          <w:tcPr>
            <w:tcW w:type="dxa" w:w="1872"/>
            <w:tcMar>
              <w:top w:w="30" w:type="dxa"/>
              <w:bottom w:w="30" w:type="dxa"/>
              <w:left w:w="40" w:type="dxa"/>
              <w:right w:w="40" w:type="dxa"/>
            </w:tcMar>
          </w:tcPr>
          <w:p>
            <w:pPr>
              <w:jc w:val="left"/>
            </w:pPr>
            <w:r>
              <w:t>generate_reports.py</w:t>
            </w:r>
          </w:p>
        </w:tc>
        <w:tc>
          <w:tcPr>
            <w:tcW w:type="dxa" w:w="3888"/>
            <w:tcMar>
              <w:top w:w="30" w:type="dxa"/>
              <w:bottom w:w="30" w:type="dxa"/>
              <w:left w:w="40" w:type="dxa"/>
              <w:right w:w="40" w:type="dxa"/>
            </w:tcMar>
          </w:tcPr>
          <w:p>
            <w:pPr>
              <w:jc w:val="left"/>
            </w:pPr>
            <w:r>
              <w:t>Full diagnostic evaluation suite: ROC, PR, matrices, calibration &amp; reports</w:t>
            </w:r>
          </w:p>
        </w:tc>
        <w:tc>
          <w:tcPr>
            <w:tcW w:type="dxa" w:w="3168"/>
            <w:tcMar>
              <w:top w:w="30" w:type="dxa"/>
              <w:bottom w:w="30" w:type="dxa"/>
              <w:left w:w="40" w:type="dxa"/>
              <w:right w:w="40" w:type="dxa"/>
            </w:tcMar>
          </w:tcPr>
          <w:p>
            <w:pPr>
              <w:jc w:val="left"/>
            </w:pPr>
            <w:r>
              <w:t>10 PNG figures, 4 CSVs, metrics_summary.json</w:t>
            </w:r>
          </w:p>
        </w:tc>
      </w:tr>
      <w:tr>
        <w:tc>
          <w:tcPr>
            <w:tcW w:type="dxa" w:w="1872"/>
            <w:tcMar>
              <w:top w:w="30" w:type="dxa"/>
              <w:bottom w:w="30" w:type="dxa"/>
              <w:left w:w="40" w:type="dxa"/>
              <w:right w:w="40" w:type="dxa"/>
            </w:tcMar>
          </w:tcPr>
          <w:p>
            <w:pPr>
              <w:jc w:val="left"/>
            </w:pPr>
            <w:r>
              <w:t>app.py</w:t>
            </w:r>
          </w:p>
        </w:tc>
        <w:tc>
          <w:tcPr>
            <w:tcW w:type="dxa" w:w="3888"/>
            <w:tcMar>
              <w:top w:w="30" w:type="dxa"/>
              <w:bottom w:w="30" w:type="dxa"/>
              <w:left w:w="40" w:type="dxa"/>
              <w:right w:w="40" w:type="dxa"/>
            </w:tcMar>
          </w:tcPr>
          <w:p>
            <w:pPr>
              <w:jc w:val="left"/>
            </w:pPr>
            <w:r>
              <w:t>Reactive Streamlit web UI: inputs, real-time risk gauge, factor explanations</w:t>
            </w:r>
          </w:p>
        </w:tc>
        <w:tc>
          <w:tcPr>
            <w:tcW w:type="dxa" w:w="3168"/>
            <w:tcMar>
              <w:top w:w="30" w:type="dxa"/>
              <w:bottom w:w="30" w:type="dxa"/>
              <w:left w:w="40" w:type="dxa"/>
              <w:right w:w="40" w:type="dxa"/>
            </w:tcMar>
          </w:tcPr>
          <w:p>
            <w:pPr>
              <w:jc w:val="left"/>
            </w:pPr>
            <w:r>
              <w:t>Interactive web dashboard (port 8501)</w:t>
            </w:r>
          </w:p>
        </w:tc>
      </w:tr>
    </w:tbl>
    <w:p>
      <w:pPr>
        <w:spacing w:before="160" w:after="60" w:line="276" w:lineRule="auto"/>
        <w:jc w:val="left"/>
      </w:pPr>
      <w:r>
        <w:rPr>
          <w:rFonts w:ascii="Times New Roman" w:hAnsi="Times New Roman"/>
          <w:b/>
          <w:i w:val="0"/>
          <w:sz w:val="24"/>
        </w:rPr>
        <w:t>3.3.1 Handling Data Inspection and Cleaning (data_cleaning.py)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029"/>
      </w:tblGrid>
      <w:tr>
        <w:tc>
          <w:tcPr>
            <w:tcW w:type="dxa" w:w="9029"/>
            <w:shd w:fill="F8F9FA"/>
            <w:tcMar>
              <w:top w:w="60" w:type="dxa"/>
              <w:bottom w:w="60" w:type="dxa"/>
              <w:left w:w="100" w:type="dxa"/>
              <w:right w:w="100" w:type="dxa"/>
            </w:tcMar>
          </w:tcPr>
          <w:p>
            <w:pPr>
              <w:spacing w:before="0" w:after="0" w:line="240" w:lineRule="auto"/>
            </w:pPr>
            <w:r>
              <w:rPr>
                <w:rFonts w:ascii="Courier New" w:hAnsi="Courier New"/>
                <w:sz w:val="18"/>
              </w:rPr>
              <w:t>df = pd.read_csv('loan_applications.csv')</w:t>
              <w:br/>
              <w:t>df_cleanable = df.drop(columns=['fraud_type'], errors='ignore')</w:t>
              <w:br/>
              <w:t>df_cleaned = df_cleanable.dropna()</w:t>
              <w:br/>
              <w:t>print(f'Total rows before cleaning: {len(df)} | After cleaning: {len(df_cleaned)}')</w:t>
              <w:br/>
              <w:t>print(df_cleaned['fraud_flag'].value_counts())</w:t>
            </w:r>
          </w:p>
        </w:tc>
      </w:tr>
    </w:tbl>
    <w:p>
      <w:pPr>
        <w:spacing w:after="80"/>
      </w:pPr>
    </w:p>
    <w:p>
      <w:pPr>
        <w:spacing w:before="160" w:after="60" w:line="276" w:lineRule="auto"/>
        <w:jc w:val="left"/>
      </w:pPr>
      <w:r>
        <w:rPr>
          <w:rFonts w:ascii="Times New Roman" w:hAnsi="Times New Roman"/>
          <w:b/>
          <w:i w:val="0"/>
          <w:sz w:val="24"/>
        </w:rPr>
        <w:t>3.3.2 Balanced Model Training and Serialization (train_model.py)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029"/>
      </w:tblGrid>
      <w:tr>
        <w:tc>
          <w:tcPr>
            <w:tcW w:type="dxa" w:w="9029"/>
            <w:shd w:fill="F8F9FA"/>
            <w:tcMar>
              <w:top w:w="60" w:type="dxa"/>
              <w:bottom w:w="60" w:type="dxa"/>
              <w:left w:w="100" w:type="dxa"/>
              <w:right w:w="100" w:type="dxa"/>
            </w:tcMar>
          </w:tcPr>
          <w:p>
            <w:pPr>
              <w:spacing w:before="0" w:after="0" w:line="240" w:lineRule="auto"/>
            </w:pPr>
            <w:r>
              <w:rPr>
                <w:rFonts w:ascii="Courier New" w:hAnsi="Courier New"/>
                <w:sz w:val="18"/>
              </w:rPr>
              <w:t>X = df[['loan_amount_requested', 'monthly_income', 'cibil_score', 'debt_to_income_ratio']]</w:t>
              <w:br/>
              <w:t>y = df['fraud_flag']</w:t>
              <w:br/>
              <w:t>X_train, X_test, y_train, y_test = train_test_split(X, y, test_size=0.2, random_state=42, stratify=y)</w:t>
              <w:br/>
              <w:t>model = LogisticRegression(class_weight='balanced', max_iter=1000, random_state=42)</w:t>
              <w:br/>
              <w:t>model.fit(X_train, y_train)</w:t>
              <w:br/>
              <w:t>joblib.dump({'model': model, 'features': list(X.columns)}, 'model.pkl')</w:t>
            </w:r>
          </w:p>
        </w:tc>
      </w:tr>
    </w:tbl>
    <w:p>
      <w:pPr>
        <w:spacing w:after="80"/>
      </w:pPr>
    </w:p>
    <w:p>
      <w:r>
        <w:br w:type="page"/>
      </w:r>
    </w:p>
    <w:p>
      <w:pPr>
        <w:spacing w:before="160" w:after="60" w:line="276" w:lineRule="auto"/>
        <w:jc w:val="left"/>
      </w:pPr>
      <w:r>
        <w:rPr>
          <w:rFonts w:ascii="Times New Roman" w:hAnsi="Times New Roman"/>
          <w:b/>
          <w:i w:val="0"/>
          <w:sz w:val="24"/>
        </w:rPr>
        <w:t>3.3.3 Comprehensive Diagnostic Metrics Pipeline (generate_reports.py)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029"/>
      </w:tblGrid>
      <w:tr>
        <w:tc>
          <w:tcPr>
            <w:tcW w:type="dxa" w:w="9029"/>
            <w:shd w:fill="F8F9FA"/>
            <w:tcMar>
              <w:top w:w="60" w:type="dxa"/>
              <w:bottom w:w="60" w:type="dxa"/>
              <w:left w:w="100" w:type="dxa"/>
              <w:right w:w="100" w:type="dxa"/>
            </w:tcMar>
          </w:tcPr>
          <w:p>
            <w:pPr>
              <w:spacing w:before="0" w:after="0" w:line="240" w:lineRule="auto"/>
            </w:pPr>
            <w:r>
              <w:rPr>
                <w:rFonts w:ascii="Courier New" w:hAnsi="Courier New"/>
                <w:sz w:val="18"/>
              </w:rPr>
              <w:t>cm = confusion_matrix(y_test, y_pred)</w:t>
              <w:br/>
              <w:t>tn, fp, fn, tp = cm.ravel()</w:t>
              <w:br/>
              <w:t>roc_auc = roc_auc_score(y_test, y_proba)</w:t>
              <w:br/>
              <w:t>pr_auc = average_precision_score(y_test, y_proba)</w:t>
              <w:br/>
              <w:t>balanced_acc = balanced_accuracy_score(y_test, y_pred)</w:t>
            </w:r>
          </w:p>
        </w:tc>
      </w:tr>
    </w:tbl>
    <w:p>
      <w:pPr>
        <w:spacing w:after="80"/>
      </w:pPr>
    </w:p>
    <w:p>
      <w:pPr>
        <w:spacing w:before="160" w:after="60" w:line="276" w:lineRule="auto"/>
        <w:jc w:val="left"/>
      </w:pPr>
      <w:r>
        <w:rPr>
          <w:rFonts w:ascii="Times New Roman" w:hAnsi="Times New Roman"/>
          <w:b/>
          <w:i w:val="0"/>
          <w:sz w:val="24"/>
        </w:rPr>
        <w:t>3.3.4 Explainable Underwriting Rule Logic (app.py)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029"/>
      </w:tblGrid>
      <w:tr>
        <w:tc>
          <w:tcPr>
            <w:tcW w:type="dxa" w:w="9029"/>
            <w:shd w:fill="F8F9FA"/>
            <w:tcMar>
              <w:top w:w="60" w:type="dxa"/>
              <w:bottom w:w="60" w:type="dxa"/>
              <w:left w:w="100" w:type="dxa"/>
              <w:right w:w="100" w:type="dxa"/>
            </w:tcMar>
          </w:tcPr>
          <w:p>
            <w:pPr>
              <w:spacing w:before="0" w:after="0" w:line="240" w:lineRule="auto"/>
            </w:pPr>
            <w:r>
              <w:rPr>
                <w:rFonts w:ascii="Courier New" w:hAnsi="Courier New"/>
                <w:sz w:val="18"/>
              </w:rPr>
              <w:t>if dti_ratio &gt;= 45.0:</w:t>
              <w:br/>
              <w:t xml:space="preserve">    risk_factors.append(f'High Debt Burden: DTI is {dti_ratio:.1f}% (critical threshold &gt;40%).')</w:t>
              <w:br/>
              <w:t xml:space="preserve">    risk_points += 35</w:t>
              <w:br/>
              <w:t>if credit_score &lt; 580:</w:t>
              <w:br/>
              <w:t xml:space="preserve">    risk_factors.append(f'Subprime Credit: Score of {int(credit_score)} indicates high default history.')</w:t>
              <w:br/>
              <w:t xml:space="preserve">    risk_points += 40</w:t>
            </w:r>
          </w:p>
        </w:tc>
      </w:tr>
    </w:tbl>
    <w:p>
      <w:pPr>
        <w:spacing w:after="80"/>
      </w:pPr>
    </w:p>
    <w:p>
      <w:pPr>
        <w:spacing w:before="160" w:after="60" w:line="276" w:lineRule="auto"/>
        <w:jc w:val="left"/>
      </w:pPr>
      <w:r>
        <w:rPr>
          <w:rFonts w:ascii="Times New Roman" w:hAnsi="Times New Roman"/>
          <w:b/>
          <w:i w:val="0"/>
          <w:sz w:val="24"/>
        </w:rPr>
        <w:t>3.3.5 Real-Time Prediction and Risk Scoring in Streamlit (app.py)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029"/>
      </w:tblGrid>
      <w:tr>
        <w:tc>
          <w:tcPr>
            <w:tcW w:type="dxa" w:w="9029"/>
            <w:shd w:fill="F8F9FA"/>
            <w:tcMar>
              <w:top w:w="60" w:type="dxa"/>
              <w:bottom w:w="60" w:type="dxa"/>
              <w:left w:w="100" w:type="dxa"/>
              <w:right w:w="100" w:type="dxa"/>
            </w:tcMar>
          </w:tcPr>
          <w:p>
            <w:pPr>
              <w:spacing w:before="0" w:after="0" w:line="240" w:lineRule="auto"/>
            </w:pPr>
            <w:r>
              <w:rPr>
                <w:rFonts w:ascii="Courier New" w:hAnsi="Courier New"/>
                <w:sz w:val="18"/>
              </w:rPr>
              <w:t>base_proba = model.predict_proba(input_df)[0][1]</w:t>
              <w:br/>
              <w:t>model_score = base_proba * 100.0</w:t>
              <w:br/>
              <w:t>final_risk_score = min(max(int((model_score * 0.4) + (risk_points * 0.6)), 5), 98)</w:t>
              <w:br/>
              <w:t>st.metric(label='Fraud Risk Score', value=f'{final_risk_score}%')</w:t>
            </w:r>
          </w:p>
        </w:tc>
      </w:tr>
    </w:tbl>
    <w:p>
      <w:pPr>
        <w:spacing w:after="80"/>
      </w:pPr>
    </w:p>
    <w:p>
      <w:pPr>
        <w:spacing w:before="200" w:after="80" w:line="276" w:lineRule="auto"/>
        <w:jc w:val="left"/>
      </w:pPr>
      <w:r>
        <w:rPr>
          <w:rFonts w:ascii="Times New Roman" w:hAnsi="Times New Roman"/>
          <w:b/>
          <w:i w:val="0"/>
          <w:sz w:val="28"/>
        </w:rPr>
        <w:t>3.4 Steps to Run the Project</w:t>
      </w:r>
    </w:p>
    <w:p>
      <w:pPr>
        <w:spacing w:before="0" w:after="80" w:line="276" w:lineRule="auto"/>
        <w:jc w:val="left"/>
      </w:pPr>
      <w:r>
        <w:rPr>
          <w:rFonts w:ascii="Times New Roman" w:hAnsi="Times New Roman"/>
          <w:b w:val="0"/>
          <w:i w:val="0"/>
          <w:sz w:val="24"/>
        </w:rPr>
        <w:t>1. Install required dependencies: pip install -r requirements.txt</w:t>
      </w:r>
    </w:p>
    <w:p>
      <w:pPr>
        <w:spacing w:before="0" w:after="80" w:line="276" w:lineRule="auto"/>
        <w:jc w:val="left"/>
      </w:pPr>
      <w:r>
        <w:rPr>
          <w:rFonts w:ascii="Times New Roman" w:hAnsi="Times New Roman"/>
          <w:b w:val="0"/>
          <w:i w:val="0"/>
          <w:sz w:val="24"/>
        </w:rPr>
        <w:t>2. Clean and inspect the dataset: python data_cleaning.py</w:t>
      </w:r>
    </w:p>
    <w:p>
      <w:pPr>
        <w:spacing w:before="0" w:after="80" w:line="276" w:lineRule="auto"/>
        <w:jc w:val="left"/>
      </w:pPr>
      <w:r>
        <w:rPr>
          <w:rFonts w:ascii="Times New Roman" w:hAnsi="Times New Roman"/>
          <w:b w:val="0"/>
          <w:i w:val="0"/>
          <w:sz w:val="24"/>
        </w:rPr>
        <w:t>3. Train, calibrate and export the model: python train_model.py</w:t>
      </w:r>
    </w:p>
    <w:p>
      <w:pPr>
        <w:spacing w:before="0" w:after="80" w:line="276" w:lineRule="auto"/>
        <w:jc w:val="left"/>
      </w:pPr>
      <w:r>
        <w:rPr>
          <w:rFonts w:ascii="Times New Roman" w:hAnsi="Times New Roman"/>
          <w:b w:val="0"/>
          <w:i w:val="0"/>
          <w:sz w:val="24"/>
        </w:rPr>
        <w:t>4. Generate full diagnostic performance suite: python report_generation/generate_reports.py</w:t>
      </w:r>
    </w:p>
    <w:p>
      <w:pPr>
        <w:spacing w:before="0" w:after="80" w:line="276" w:lineRule="auto"/>
        <w:jc w:val="left"/>
      </w:pPr>
      <w:r>
        <w:rPr>
          <w:rFonts w:ascii="Times New Roman" w:hAnsi="Times New Roman"/>
          <w:b w:val="0"/>
          <w:i w:val="0"/>
          <w:sz w:val="24"/>
        </w:rPr>
        <w:t>5. Launch interactive web dashboard: streamlit run app.py, then access http://localhost:8501</w:t>
      </w:r>
    </w:p>
    <w:p>
      <w:r>
        <w:br w:type="page"/>
      </w:r>
    </w:p>
    <w:p>
      <w:pPr>
        <w:spacing w:before="200" w:after="40" w:line="276" w:lineRule="auto"/>
        <w:jc w:val="center"/>
      </w:pPr>
      <w:r>
        <w:rPr>
          <w:rFonts w:ascii="Times New Roman" w:hAnsi="Times New Roman"/>
          <w:b/>
          <w:i w:val="0"/>
          <w:sz w:val="28"/>
        </w:rPr>
        <w:t>CHAPTER 4</w:t>
      </w:r>
    </w:p>
    <w:p>
      <w:pPr>
        <w:spacing w:before="0" w:after="280" w:line="276" w:lineRule="auto"/>
        <w:jc w:val="center"/>
      </w:pPr>
      <w:r>
        <w:rPr>
          <w:rFonts w:ascii="Times New Roman" w:hAnsi="Times New Roman"/>
          <w:b/>
          <w:i w:val="0"/>
          <w:sz w:val="28"/>
        </w:rPr>
        <w:t>SYSTEM ARCHITECTURE</w:t>
      </w:r>
    </w:p>
    <w:p>
      <w:pPr>
        <w:spacing w:before="0" w:after="120" w:line="276" w:lineRule="auto"/>
        <w:jc w:val="both"/>
      </w:pPr>
      <w:r>
        <w:rPr>
          <w:rFonts w:ascii="Times New Roman" w:hAnsi="Times New Roman"/>
          <w:b w:val="0"/>
          <w:i w:val="0"/>
          <w:sz w:val="24"/>
        </w:rPr>
        <w:t>The LoanGuard-AI architecture follows an end-to-end machine learning engineering lifecycle designed specifically for financial underwriting. The system transforms raw loan applications into calibrated risk scores and transparent decision factor breakdowns. Figure 4.1 outlines the end-to-end architecture across all processing stages.</w:t>
      </w:r>
    </w:p>
    <w:p>
      <w:pPr>
        <w:spacing w:before="80" w:after="40"/>
        <w:jc w:val="center"/>
      </w:pPr>
      <w:r>
        <w:drawing>
          <wp:inline xmlns:a="http://schemas.openxmlformats.org/drawingml/2006/main" xmlns:pic="http://schemas.openxmlformats.org/drawingml/2006/picture">
            <wp:extent cx="4937760" cy="6602173"/>
            <wp:docPr id="4" name="Picture 4"/>
            <wp:cNvGraphicFramePr>
              <a:graphicFrameLocks noChangeAspect="1"/>
            </wp:cNvGraphicFramePr>
            <a:graphic>
              <a:graphicData uri="http://schemas.openxmlformats.org/drawingml/2006/picture">
                <pic:pic>
                  <pic:nvPicPr>
                    <pic:cNvPr id="0" name="fig_4_1_system_architecture.png"/>
                    <pic:cNvPicPr/>
                  </pic:nvPicPr>
                  <pic:blipFill>
                    <a:blip r:embed="rId12"/>
                    <a:stretch>
                      <a:fillRect/>
                    </a:stretch>
                  </pic:blipFill>
                  <pic:spPr>
                    <a:xfrm>
                      <a:off x="0" y="0"/>
                      <a:ext cx="4937760" cy="6602173"/>
                    </a:xfrm>
                    <a:prstGeom prst="rect"/>
                  </pic:spPr>
                </pic:pic>
              </a:graphicData>
            </a:graphic>
          </wp:inline>
        </w:drawing>
      </w:r>
    </w:p>
    <w:p>
      <w:pPr>
        <w:spacing w:before="80" w:after="160" w:line="276" w:lineRule="auto"/>
        <w:jc w:val="center"/>
      </w:pPr>
      <w:r>
        <w:rPr>
          <w:rFonts w:ascii="Times New Roman" w:hAnsi="Times New Roman"/>
          <w:b w:val="0"/>
          <w:i w:val="0"/>
          <w:sz w:val="22"/>
        </w:rPr>
        <w:t>Fig. 4.1 System architecture of the LoanGuard-AI System</w:t>
      </w:r>
    </w:p>
    <w:p>
      <w:pPr>
        <w:spacing w:before="0" w:after="120" w:line="276" w:lineRule="auto"/>
        <w:jc w:val="both"/>
      </w:pPr>
      <w:r>
        <w:rPr>
          <w:rFonts w:ascii="Times New Roman" w:hAnsi="Times New Roman"/>
          <w:b w:val="0"/>
          <w:i w:val="0"/>
          <w:sz w:val="24"/>
        </w:rPr>
        <w:t>1. Data Ingestion: 50,000 retail loan application records are ingested from loan_applications.csv, capturing loan requested, applicant income, CIBIL score, and DTI ratio alongside historical fraud labels.</w:t>
      </w:r>
    </w:p>
    <w:p>
      <w:pPr>
        <w:spacing w:before="0" w:after="120" w:line="276" w:lineRule="auto"/>
        <w:jc w:val="both"/>
      </w:pPr>
      <w:r>
        <w:rPr>
          <w:rFonts w:ascii="Times New Roman" w:hAnsi="Times New Roman"/>
          <w:b w:val="0"/>
          <w:i w:val="0"/>
          <w:sz w:val="24"/>
        </w:rPr>
        <w:t>2. Data Cleaning &amp; Range Validation: Corrupted or incomplete rows are audited and verified. Numerical ranges are bounded to valid financial limits to prevent numerical instability.</w:t>
      </w:r>
    </w:p>
    <w:p>
      <w:pPr>
        <w:spacing w:before="0" w:after="120" w:line="276" w:lineRule="auto"/>
        <w:jc w:val="both"/>
      </w:pPr>
      <w:r>
        <w:rPr>
          <w:rFonts w:ascii="Times New Roman" w:hAnsi="Times New Roman"/>
          <w:b w:val="0"/>
          <w:i w:val="0"/>
          <w:sz w:val="24"/>
        </w:rPr>
        <w:t>3. Exploratory Data Analysis: Statistical profiling evaluates feature skewness, credit score distributions, and severe class imbalance (2.05% fraud prevalence).</w:t>
      </w:r>
    </w:p>
    <w:p>
      <w:r>
        <w:br w:type="page"/>
      </w:r>
    </w:p>
    <w:p>
      <w:pPr>
        <w:spacing w:before="0" w:after="120" w:line="276" w:lineRule="auto"/>
        <w:jc w:val="both"/>
      </w:pPr>
      <w:r>
        <w:rPr>
          <w:rFonts w:ascii="Times New Roman" w:hAnsi="Times New Roman"/>
          <w:b w:val="0"/>
          <w:i w:val="0"/>
          <w:sz w:val="24"/>
        </w:rPr>
        <w:t>4. Train-Test Stratified Split: The dataset is partitioned into an 80% training set (40,000 samples) and a 20% holdout test set (10,000 samples). Stratified sampling guarantees that both partitions strictly preserve the exact 2.05% fraud incidence ratio.</w:t>
      </w:r>
    </w:p>
    <w:p>
      <w:pPr>
        <w:spacing w:before="0" w:after="120" w:line="276" w:lineRule="auto"/>
        <w:jc w:val="both"/>
      </w:pPr>
      <w:r>
        <w:rPr>
          <w:rFonts w:ascii="Times New Roman" w:hAnsi="Times New Roman"/>
          <w:b w:val="0"/>
          <w:i w:val="0"/>
          <w:sz w:val="24"/>
        </w:rPr>
        <w:t>5. Cost-Sensitive Logistic Regression Training: The classification model is fitted using balanced inverse class frequency weights, assigning ~24.4x higher penalty to fraud classification errors to overcome class imbalance.</w:t>
      </w:r>
    </w:p>
    <w:p>
      <w:pPr>
        <w:spacing w:before="0" w:after="120" w:line="276" w:lineRule="auto"/>
        <w:jc w:val="both"/>
      </w:pPr>
      <w:r>
        <w:rPr>
          <w:rFonts w:ascii="Times New Roman" w:hAnsi="Times New Roman"/>
          <w:b w:val="0"/>
          <w:i w:val="0"/>
          <w:sz w:val="24"/>
        </w:rPr>
        <w:t>6. Multi-Metric Model Evaluation: Unseen test predictions are evaluated across a 12-metric suite including Balanced Accuracy (48.89%), Recall (45.85%), Specificity (51.93%), and Precision (1.96%).</w:t>
      </w:r>
    </w:p>
    <w:p>
      <w:pPr>
        <w:spacing w:before="0" w:after="120" w:line="276" w:lineRule="auto"/>
        <w:jc w:val="both"/>
      </w:pPr>
      <w:r>
        <w:rPr>
          <w:rFonts w:ascii="Times New Roman" w:hAnsi="Times New Roman"/>
          <w:b w:val="0"/>
          <w:i w:val="0"/>
          <w:sz w:val="24"/>
        </w:rPr>
        <w:t>7. Decision Threshold Optimization: Systematic threshold scanning from 0.10 to 0.90 identifies optimal operating cutoffs balancing fraud interception against underwriter audit volume.</w:t>
      </w:r>
    </w:p>
    <w:p>
      <w:pPr>
        <w:spacing w:before="0" w:after="120" w:line="276" w:lineRule="auto"/>
        <w:jc w:val="both"/>
      </w:pPr>
      <w:r>
        <w:rPr>
          <w:rFonts w:ascii="Times New Roman" w:hAnsi="Times New Roman"/>
          <w:b w:val="0"/>
          <w:i w:val="0"/>
          <w:sz w:val="24"/>
        </w:rPr>
        <w:t>8. Financial Cost &amp; Risk Exposure Modeling: Confusion matrix outcomes are translated into dollar exposure, demonstrating $3.29M in prevented fraud losses and $2.58M in net mitigated capital risk.</w:t>
      </w:r>
    </w:p>
    <w:p>
      <w:pPr>
        <w:spacing w:before="0" w:after="120" w:line="276" w:lineRule="auto"/>
        <w:jc w:val="both"/>
      </w:pPr>
      <w:r>
        <w:rPr>
          <w:rFonts w:ascii="Times New Roman" w:hAnsi="Times New Roman"/>
          <w:b w:val="0"/>
          <w:i w:val="0"/>
          <w:sz w:val="24"/>
        </w:rPr>
        <w:t>9. Explainable Underwriting Factor Attribution: Risk scores are decomposed into explicit financial risk drivers: excessive DTI (&gt;40%), subprime credit rating (&lt;580), and loan-to-income leverage (&gt;4x).</w:t>
      </w:r>
    </w:p>
    <w:p>
      <w:pPr>
        <w:spacing w:before="0" w:after="120" w:line="276" w:lineRule="auto"/>
        <w:jc w:val="both"/>
      </w:pPr>
      <w:r>
        <w:rPr>
          <w:rFonts w:ascii="Times New Roman" w:hAnsi="Times New Roman"/>
          <w:b w:val="0"/>
          <w:i w:val="0"/>
          <w:sz w:val="24"/>
        </w:rPr>
        <w:t>10. Interactive Streamlit Deployment: A production-grade web dashboard enables underwriting personnel to input borrower attributes, view dynamic risk gauges (0%–100%), and inspect plain-English risk driver cards.</w:t>
      </w:r>
    </w:p>
    <w:p>
      <w:r>
        <w:br w:type="page"/>
      </w:r>
    </w:p>
    <w:p>
      <w:pPr>
        <w:spacing w:before="200" w:after="40" w:line="276" w:lineRule="auto"/>
        <w:jc w:val="center"/>
      </w:pPr>
      <w:r>
        <w:rPr>
          <w:rFonts w:ascii="Times New Roman" w:hAnsi="Times New Roman"/>
          <w:b/>
          <w:i w:val="0"/>
          <w:sz w:val="28"/>
        </w:rPr>
        <w:t>CHAPTER 5</w:t>
      </w:r>
    </w:p>
    <w:p>
      <w:pPr>
        <w:spacing w:before="0" w:after="280" w:line="276" w:lineRule="auto"/>
        <w:jc w:val="center"/>
      </w:pPr>
      <w:r>
        <w:rPr>
          <w:rFonts w:ascii="Times New Roman" w:hAnsi="Times New Roman"/>
          <w:b/>
          <w:i w:val="0"/>
          <w:sz w:val="28"/>
        </w:rPr>
        <w:t>DATA PREPROCESSING</w:t>
      </w:r>
    </w:p>
    <w:p>
      <w:pPr>
        <w:spacing w:before="200" w:after="80" w:line="276" w:lineRule="auto"/>
        <w:jc w:val="left"/>
      </w:pPr>
      <w:r>
        <w:rPr>
          <w:rFonts w:ascii="Times New Roman" w:hAnsi="Times New Roman"/>
          <w:b/>
          <w:i w:val="0"/>
          <w:sz w:val="28"/>
        </w:rPr>
        <w:t>5.1 Introduction</w:t>
      </w:r>
    </w:p>
    <w:p>
      <w:pPr>
        <w:spacing w:before="0" w:after="120" w:line="276" w:lineRule="auto"/>
        <w:jc w:val="both"/>
      </w:pPr>
      <w:r>
        <w:rPr>
          <w:rFonts w:ascii="Times New Roman" w:hAnsi="Times New Roman"/>
          <w:b w:val="0"/>
          <w:i w:val="0"/>
          <w:sz w:val="24"/>
        </w:rPr>
        <w:t>Data preprocessing is a pivotal foundation of financial machine learning. Credit underwriting data frequently exhibits asymmetric distributions, non-reporting artifacts, and severe target class imbalance. In LoanGuard-AI, preprocessing is orchestrated in data_cleaning.py to ensure that models train exclusively on clean, verified numerical vectors.</w:t>
      </w:r>
    </w:p>
    <w:p>
      <w:pPr>
        <w:spacing w:before="200" w:after="80" w:line="276" w:lineRule="auto"/>
        <w:jc w:val="left"/>
      </w:pPr>
      <w:r>
        <w:rPr>
          <w:rFonts w:ascii="Times New Roman" w:hAnsi="Times New Roman"/>
          <w:b/>
          <w:i w:val="0"/>
          <w:sz w:val="28"/>
        </w:rPr>
        <w:t>5.2 Handling Missing Values and Data Integrity</w:t>
      </w:r>
    </w:p>
    <w:p>
      <w:pPr>
        <w:spacing w:before="0" w:after="120" w:line="276" w:lineRule="auto"/>
        <w:jc w:val="both"/>
      </w:pPr>
      <w:r>
        <w:rPr>
          <w:rFonts w:ascii="Times New Roman" w:hAnsi="Times New Roman"/>
          <w:b w:val="0"/>
          <w:i w:val="0"/>
          <w:sz w:val="24"/>
        </w:rPr>
        <w:t>An initial audit of loan_applications.csv confirmed that all four core quantitative predictors (loan amount requested, monthly income, CIBIL score, and debt-to-income ratio) contain complete, non-null values across all 50,000 records. A secondary column, fraud_type, contained 48,975 null values (97.95%), which precisely corresponds to legitimate loans that experienced no fraud. This non-predictive metadata column was dropped to prevent target leakage. Figure 5.1 illustrates the missing values audit.</w:t>
      </w:r>
    </w:p>
    <w:p>
      <w:pPr>
        <w:spacing w:before="80" w:after="4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5_1_missing_values.png"/>
                    <pic:cNvPicPr/>
                  </pic:nvPicPr>
                  <pic:blipFill>
                    <a:blip r:embed="rId13"/>
                    <a:stretch>
                      <a:fillRect/>
                    </a:stretch>
                  </pic:blipFill>
                  <pic:spPr>
                    <a:xfrm>
                      <a:off x="0" y="0"/>
                      <a:ext cx="5029200" cy="2828925"/>
                    </a:xfrm>
                    <a:prstGeom prst="rect"/>
                  </pic:spPr>
                </pic:pic>
              </a:graphicData>
            </a:graphic>
          </wp:inline>
        </w:drawing>
      </w:r>
    </w:p>
    <w:p>
      <w:pPr>
        <w:spacing w:before="80" w:after="160" w:line="276" w:lineRule="auto"/>
        <w:jc w:val="center"/>
      </w:pPr>
      <w:r>
        <w:rPr>
          <w:rFonts w:ascii="Times New Roman" w:hAnsi="Times New Roman"/>
          <w:b w:val="0"/>
          <w:i w:val="0"/>
          <w:sz w:val="22"/>
        </w:rPr>
        <w:t>Fig. 5.1 Missing values audit per feature before cleaning</w:t>
      </w:r>
    </w:p>
    <w:p>
      <w:r>
        <w:br w:type="page"/>
      </w:r>
    </w:p>
    <w:p>
      <w:pPr>
        <w:spacing w:before="160" w:after="60" w:line="276" w:lineRule="auto"/>
        <w:jc w:val="left"/>
      </w:pPr>
      <w:r>
        <w:rPr>
          <w:rFonts w:ascii="Times New Roman" w:hAnsi="Times New Roman"/>
          <w:b/>
          <w:i w:val="0"/>
          <w:sz w:val="24"/>
        </w:rPr>
        <w:t>Table 5.1: Missing values and feature properties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1806"/>
        <w:gridCol w:w="1806"/>
        <w:gridCol w:w="1806"/>
        <w:gridCol w:w="1806"/>
        <w:gridCol w:w="1806"/>
      </w:tblGrid>
      <w:tr>
        <w:tc>
          <w:tcPr>
            <w:tcW w:type="dxa" w:w="2160"/>
            <w:shd w:fill="F5F5F5"/>
            <w:tcMar>
              <w:top w:w="30" w:type="dxa"/>
              <w:bottom w:w="30" w:type="dxa"/>
              <w:left w:w="40" w:type="dxa"/>
              <w:right w:w="40" w:type="dxa"/>
            </w:tcMar>
          </w:tcPr>
          <w:p>
            <w:pPr>
              <w:jc w:val="left"/>
            </w:pPr>
            <w:r>
              <w:rPr>
                <w:b/>
              </w:rPr>
              <w:t>Feature Name</w:t>
            </w:r>
          </w:p>
        </w:tc>
        <w:tc>
          <w:tcPr>
            <w:tcW w:type="dxa" w:w="1152"/>
            <w:shd w:fill="F5F5F5"/>
            <w:tcMar>
              <w:top w:w="30" w:type="dxa"/>
              <w:bottom w:w="30" w:type="dxa"/>
              <w:left w:w="40" w:type="dxa"/>
              <w:right w:w="40" w:type="dxa"/>
            </w:tcMar>
          </w:tcPr>
          <w:p>
            <w:pPr>
              <w:jc w:val="center"/>
            </w:pPr>
            <w:r>
              <w:rPr>
                <w:b/>
              </w:rPr>
              <w:t>Data Type</w:t>
            </w:r>
          </w:p>
        </w:tc>
        <w:tc>
          <w:tcPr>
            <w:tcW w:type="dxa" w:w="1152"/>
            <w:shd w:fill="F5F5F5"/>
            <w:tcMar>
              <w:top w:w="30" w:type="dxa"/>
              <w:bottom w:w="30" w:type="dxa"/>
              <w:left w:w="40" w:type="dxa"/>
              <w:right w:w="40" w:type="dxa"/>
            </w:tcMar>
          </w:tcPr>
          <w:p>
            <w:pPr>
              <w:jc w:val="center"/>
            </w:pPr>
            <w:r>
              <w:rPr>
                <w:b/>
              </w:rPr>
              <w:t>Null Count</w:t>
            </w:r>
          </w:p>
        </w:tc>
        <w:tc>
          <w:tcPr>
            <w:tcW w:type="dxa" w:w="1152"/>
            <w:shd w:fill="F5F5F5"/>
            <w:tcMar>
              <w:top w:w="30" w:type="dxa"/>
              <w:bottom w:w="30" w:type="dxa"/>
              <w:left w:w="40" w:type="dxa"/>
              <w:right w:w="40" w:type="dxa"/>
            </w:tcMar>
          </w:tcPr>
          <w:p>
            <w:pPr>
              <w:jc w:val="center"/>
            </w:pPr>
            <w:r>
              <w:rPr>
                <w:b/>
              </w:rPr>
              <w:t>Missing %</w:t>
            </w:r>
          </w:p>
        </w:tc>
        <w:tc>
          <w:tcPr>
            <w:tcW w:type="dxa" w:w="3312"/>
            <w:shd w:fill="F5F5F5"/>
            <w:tcMar>
              <w:top w:w="30" w:type="dxa"/>
              <w:bottom w:w="30" w:type="dxa"/>
              <w:left w:w="40" w:type="dxa"/>
              <w:right w:w="40" w:type="dxa"/>
            </w:tcMar>
          </w:tcPr>
          <w:p>
            <w:pPr>
              <w:jc w:val="left"/>
            </w:pPr>
            <w:r>
              <w:rPr>
                <w:b/>
              </w:rPr>
              <w:t>Pre-processing Action</w:t>
            </w:r>
          </w:p>
        </w:tc>
      </w:tr>
      <w:tr>
        <w:tc>
          <w:tcPr>
            <w:tcW w:type="dxa" w:w="2160"/>
            <w:tcMar>
              <w:top w:w="30" w:type="dxa"/>
              <w:bottom w:w="30" w:type="dxa"/>
              <w:left w:w="40" w:type="dxa"/>
              <w:right w:w="40" w:type="dxa"/>
            </w:tcMar>
          </w:tcPr>
          <w:p>
            <w:pPr>
              <w:jc w:val="left"/>
            </w:pPr>
            <w:r>
              <w:t>loan_amount_requested</w:t>
            </w:r>
          </w:p>
        </w:tc>
        <w:tc>
          <w:tcPr>
            <w:tcW w:type="dxa" w:w="1152"/>
            <w:tcMar>
              <w:top w:w="30" w:type="dxa"/>
              <w:bottom w:w="30" w:type="dxa"/>
              <w:left w:w="40" w:type="dxa"/>
              <w:right w:w="40" w:type="dxa"/>
            </w:tcMar>
          </w:tcPr>
          <w:p>
            <w:pPr>
              <w:jc w:val="center"/>
            </w:pPr>
            <w:r>
              <w:t>Float64</w:t>
            </w:r>
          </w:p>
        </w:tc>
        <w:tc>
          <w:tcPr>
            <w:tcW w:type="dxa" w:w="1152"/>
            <w:tcMar>
              <w:top w:w="30" w:type="dxa"/>
              <w:bottom w:w="30" w:type="dxa"/>
              <w:left w:w="40" w:type="dxa"/>
              <w:right w:w="40" w:type="dxa"/>
            </w:tcMar>
          </w:tcPr>
          <w:p>
            <w:pPr>
              <w:jc w:val="center"/>
            </w:pPr>
            <w:r>
              <w:t>0</w:t>
            </w:r>
          </w:p>
        </w:tc>
        <w:tc>
          <w:tcPr>
            <w:tcW w:type="dxa" w:w="1152"/>
            <w:tcMar>
              <w:top w:w="30" w:type="dxa"/>
              <w:bottom w:w="30" w:type="dxa"/>
              <w:left w:w="40" w:type="dxa"/>
              <w:right w:w="40" w:type="dxa"/>
            </w:tcMar>
          </w:tcPr>
          <w:p>
            <w:pPr>
              <w:jc w:val="center"/>
            </w:pPr>
            <w:r>
              <w:t>0.0%</w:t>
            </w:r>
          </w:p>
        </w:tc>
        <w:tc>
          <w:tcPr>
            <w:tcW w:type="dxa" w:w="3312"/>
            <w:tcMar>
              <w:top w:w="30" w:type="dxa"/>
              <w:bottom w:w="30" w:type="dxa"/>
              <w:left w:w="40" w:type="dxa"/>
              <w:right w:w="40" w:type="dxa"/>
            </w:tcMar>
          </w:tcPr>
          <w:p>
            <w:pPr>
              <w:jc w:val="left"/>
            </w:pPr>
            <w:r>
              <w:t>Retained; validated range &gt; $1,000</w:t>
            </w:r>
          </w:p>
        </w:tc>
      </w:tr>
      <w:tr>
        <w:tc>
          <w:tcPr>
            <w:tcW w:type="dxa" w:w="2160"/>
            <w:tcMar>
              <w:top w:w="30" w:type="dxa"/>
              <w:bottom w:w="30" w:type="dxa"/>
              <w:left w:w="40" w:type="dxa"/>
              <w:right w:w="40" w:type="dxa"/>
            </w:tcMar>
          </w:tcPr>
          <w:p>
            <w:pPr>
              <w:jc w:val="left"/>
            </w:pPr>
            <w:r>
              <w:t>monthly_income</w:t>
            </w:r>
          </w:p>
        </w:tc>
        <w:tc>
          <w:tcPr>
            <w:tcW w:type="dxa" w:w="1152"/>
            <w:tcMar>
              <w:top w:w="30" w:type="dxa"/>
              <w:bottom w:w="30" w:type="dxa"/>
              <w:left w:w="40" w:type="dxa"/>
              <w:right w:w="40" w:type="dxa"/>
            </w:tcMar>
          </w:tcPr>
          <w:p>
            <w:pPr>
              <w:jc w:val="center"/>
            </w:pPr>
            <w:r>
              <w:t>Float64</w:t>
            </w:r>
          </w:p>
        </w:tc>
        <w:tc>
          <w:tcPr>
            <w:tcW w:type="dxa" w:w="1152"/>
            <w:tcMar>
              <w:top w:w="30" w:type="dxa"/>
              <w:bottom w:w="30" w:type="dxa"/>
              <w:left w:w="40" w:type="dxa"/>
              <w:right w:w="40" w:type="dxa"/>
            </w:tcMar>
          </w:tcPr>
          <w:p>
            <w:pPr>
              <w:jc w:val="center"/>
            </w:pPr>
            <w:r>
              <w:t>0</w:t>
            </w:r>
          </w:p>
        </w:tc>
        <w:tc>
          <w:tcPr>
            <w:tcW w:type="dxa" w:w="1152"/>
            <w:tcMar>
              <w:top w:w="30" w:type="dxa"/>
              <w:bottom w:w="30" w:type="dxa"/>
              <w:left w:w="40" w:type="dxa"/>
              <w:right w:w="40" w:type="dxa"/>
            </w:tcMar>
          </w:tcPr>
          <w:p>
            <w:pPr>
              <w:jc w:val="center"/>
            </w:pPr>
            <w:r>
              <w:t>0.0%</w:t>
            </w:r>
          </w:p>
        </w:tc>
        <w:tc>
          <w:tcPr>
            <w:tcW w:type="dxa" w:w="3312"/>
            <w:tcMar>
              <w:top w:w="30" w:type="dxa"/>
              <w:bottom w:w="30" w:type="dxa"/>
              <w:left w:w="40" w:type="dxa"/>
              <w:right w:w="40" w:type="dxa"/>
            </w:tcMar>
          </w:tcPr>
          <w:p>
            <w:pPr>
              <w:jc w:val="left"/>
            </w:pPr>
            <w:r>
              <w:t>Retained; validated range &gt; $500</w:t>
            </w:r>
          </w:p>
        </w:tc>
      </w:tr>
      <w:tr>
        <w:tc>
          <w:tcPr>
            <w:tcW w:type="dxa" w:w="2160"/>
            <w:tcMar>
              <w:top w:w="30" w:type="dxa"/>
              <w:bottom w:w="30" w:type="dxa"/>
              <w:left w:w="40" w:type="dxa"/>
              <w:right w:w="40" w:type="dxa"/>
            </w:tcMar>
          </w:tcPr>
          <w:p>
            <w:pPr>
              <w:jc w:val="left"/>
            </w:pPr>
            <w:r>
              <w:t>cibil_score</w:t>
            </w:r>
          </w:p>
        </w:tc>
        <w:tc>
          <w:tcPr>
            <w:tcW w:type="dxa" w:w="1152"/>
            <w:tcMar>
              <w:top w:w="30" w:type="dxa"/>
              <w:bottom w:w="30" w:type="dxa"/>
              <w:left w:w="40" w:type="dxa"/>
              <w:right w:w="40" w:type="dxa"/>
            </w:tcMar>
          </w:tcPr>
          <w:p>
            <w:pPr>
              <w:jc w:val="center"/>
            </w:pPr>
            <w:r>
              <w:t>Float64</w:t>
            </w:r>
          </w:p>
        </w:tc>
        <w:tc>
          <w:tcPr>
            <w:tcW w:type="dxa" w:w="1152"/>
            <w:tcMar>
              <w:top w:w="30" w:type="dxa"/>
              <w:bottom w:w="30" w:type="dxa"/>
              <w:left w:w="40" w:type="dxa"/>
              <w:right w:w="40" w:type="dxa"/>
            </w:tcMar>
          </w:tcPr>
          <w:p>
            <w:pPr>
              <w:jc w:val="center"/>
            </w:pPr>
            <w:r>
              <w:t>0</w:t>
            </w:r>
          </w:p>
        </w:tc>
        <w:tc>
          <w:tcPr>
            <w:tcW w:type="dxa" w:w="1152"/>
            <w:tcMar>
              <w:top w:w="30" w:type="dxa"/>
              <w:bottom w:w="30" w:type="dxa"/>
              <w:left w:w="40" w:type="dxa"/>
              <w:right w:w="40" w:type="dxa"/>
            </w:tcMar>
          </w:tcPr>
          <w:p>
            <w:pPr>
              <w:jc w:val="center"/>
            </w:pPr>
            <w:r>
              <w:t>0.0%</w:t>
            </w:r>
          </w:p>
        </w:tc>
        <w:tc>
          <w:tcPr>
            <w:tcW w:type="dxa" w:w="3312"/>
            <w:tcMar>
              <w:top w:w="30" w:type="dxa"/>
              <w:bottom w:w="30" w:type="dxa"/>
              <w:left w:w="40" w:type="dxa"/>
              <w:right w:w="40" w:type="dxa"/>
            </w:tcMar>
          </w:tcPr>
          <w:p>
            <w:pPr>
              <w:jc w:val="left"/>
            </w:pPr>
            <w:r>
              <w:t>Retained; verified credit range 300–900</w:t>
            </w:r>
          </w:p>
        </w:tc>
      </w:tr>
      <w:tr>
        <w:tc>
          <w:tcPr>
            <w:tcW w:type="dxa" w:w="2160"/>
            <w:tcMar>
              <w:top w:w="30" w:type="dxa"/>
              <w:bottom w:w="30" w:type="dxa"/>
              <w:left w:w="40" w:type="dxa"/>
              <w:right w:w="40" w:type="dxa"/>
            </w:tcMar>
          </w:tcPr>
          <w:p>
            <w:pPr>
              <w:jc w:val="left"/>
            </w:pPr>
            <w:r>
              <w:t>debt_to_income_ratio</w:t>
            </w:r>
          </w:p>
        </w:tc>
        <w:tc>
          <w:tcPr>
            <w:tcW w:type="dxa" w:w="1152"/>
            <w:tcMar>
              <w:top w:w="30" w:type="dxa"/>
              <w:bottom w:w="30" w:type="dxa"/>
              <w:left w:w="40" w:type="dxa"/>
              <w:right w:w="40" w:type="dxa"/>
            </w:tcMar>
          </w:tcPr>
          <w:p>
            <w:pPr>
              <w:jc w:val="center"/>
            </w:pPr>
            <w:r>
              <w:t>Float64</w:t>
            </w:r>
          </w:p>
        </w:tc>
        <w:tc>
          <w:tcPr>
            <w:tcW w:type="dxa" w:w="1152"/>
            <w:tcMar>
              <w:top w:w="30" w:type="dxa"/>
              <w:bottom w:w="30" w:type="dxa"/>
              <w:left w:w="40" w:type="dxa"/>
              <w:right w:w="40" w:type="dxa"/>
            </w:tcMar>
          </w:tcPr>
          <w:p>
            <w:pPr>
              <w:jc w:val="center"/>
            </w:pPr>
            <w:r>
              <w:t>0</w:t>
            </w:r>
          </w:p>
        </w:tc>
        <w:tc>
          <w:tcPr>
            <w:tcW w:type="dxa" w:w="1152"/>
            <w:tcMar>
              <w:top w:w="30" w:type="dxa"/>
              <w:bottom w:w="30" w:type="dxa"/>
              <w:left w:w="40" w:type="dxa"/>
              <w:right w:w="40" w:type="dxa"/>
            </w:tcMar>
          </w:tcPr>
          <w:p>
            <w:pPr>
              <w:jc w:val="center"/>
            </w:pPr>
            <w:r>
              <w:t>0.0%</w:t>
            </w:r>
          </w:p>
        </w:tc>
        <w:tc>
          <w:tcPr>
            <w:tcW w:type="dxa" w:w="3312"/>
            <w:tcMar>
              <w:top w:w="30" w:type="dxa"/>
              <w:bottom w:w="30" w:type="dxa"/>
              <w:left w:w="40" w:type="dxa"/>
              <w:right w:w="40" w:type="dxa"/>
            </w:tcMar>
          </w:tcPr>
          <w:p>
            <w:pPr>
              <w:jc w:val="left"/>
            </w:pPr>
            <w:r>
              <w:t>Retained; bounded 0%–100%</w:t>
            </w:r>
          </w:p>
        </w:tc>
      </w:tr>
      <w:tr>
        <w:tc>
          <w:tcPr>
            <w:tcW w:type="dxa" w:w="2160"/>
            <w:tcMar>
              <w:top w:w="30" w:type="dxa"/>
              <w:bottom w:w="30" w:type="dxa"/>
              <w:left w:w="40" w:type="dxa"/>
              <w:right w:w="40" w:type="dxa"/>
            </w:tcMar>
          </w:tcPr>
          <w:p>
            <w:pPr>
              <w:jc w:val="left"/>
            </w:pPr>
            <w:r>
              <w:t>fraud_type</w:t>
            </w:r>
          </w:p>
        </w:tc>
        <w:tc>
          <w:tcPr>
            <w:tcW w:type="dxa" w:w="1152"/>
            <w:tcMar>
              <w:top w:w="30" w:type="dxa"/>
              <w:bottom w:w="30" w:type="dxa"/>
              <w:left w:w="40" w:type="dxa"/>
              <w:right w:w="40" w:type="dxa"/>
            </w:tcMar>
          </w:tcPr>
          <w:p>
            <w:pPr>
              <w:jc w:val="center"/>
            </w:pPr>
            <w:r>
              <w:t>Object</w:t>
            </w:r>
          </w:p>
        </w:tc>
        <w:tc>
          <w:tcPr>
            <w:tcW w:type="dxa" w:w="1152"/>
            <w:tcMar>
              <w:top w:w="30" w:type="dxa"/>
              <w:bottom w:w="30" w:type="dxa"/>
              <w:left w:w="40" w:type="dxa"/>
              <w:right w:w="40" w:type="dxa"/>
            </w:tcMar>
          </w:tcPr>
          <w:p>
            <w:pPr>
              <w:jc w:val="center"/>
            </w:pPr>
            <w:r>
              <w:t>48,975</w:t>
            </w:r>
          </w:p>
        </w:tc>
        <w:tc>
          <w:tcPr>
            <w:tcW w:type="dxa" w:w="1152"/>
            <w:tcMar>
              <w:top w:w="30" w:type="dxa"/>
              <w:bottom w:w="30" w:type="dxa"/>
              <w:left w:w="40" w:type="dxa"/>
              <w:right w:w="40" w:type="dxa"/>
            </w:tcMar>
          </w:tcPr>
          <w:p>
            <w:pPr>
              <w:jc w:val="center"/>
            </w:pPr>
            <w:r>
              <w:t>97.95%</w:t>
            </w:r>
          </w:p>
        </w:tc>
        <w:tc>
          <w:tcPr>
            <w:tcW w:type="dxa" w:w="3312"/>
            <w:tcMar>
              <w:top w:w="30" w:type="dxa"/>
              <w:bottom w:w="30" w:type="dxa"/>
              <w:left w:w="40" w:type="dxa"/>
              <w:right w:w="40" w:type="dxa"/>
            </w:tcMar>
          </w:tcPr>
          <w:p>
            <w:pPr>
              <w:jc w:val="left"/>
            </w:pPr>
            <w:r>
              <w:t>Dropped; post-hoc descriptive field</w:t>
            </w:r>
          </w:p>
        </w:tc>
      </w:tr>
      <w:tr>
        <w:tc>
          <w:tcPr>
            <w:tcW w:type="dxa" w:w="2160"/>
            <w:tcMar>
              <w:top w:w="30" w:type="dxa"/>
              <w:bottom w:w="30" w:type="dxa"/>
              <w:left w:w="40" w:type="dxa"/>
              <w:right w:w="40" w:type="dxa"/>
            </w:tcMar>
          </w:tcPr>
          <w:p>
            <w:pPr>
              <w:jc w:val="left"/>
            </w:pPr>
            <w:r>
              <w:t>fraud_flag (Target)</w:t>
            </w:r>
          </w:p>
        </w:tc>
        <w:tc>
          <w:tcPr>
            <w:tcW w:type="dxa" w:w="1152"/>
            <w:tcMar>
              <w:top w:w="30" w:type="dxa"/>
              <w:bottom w:w="30" w:type="dxa"/>
              <w:left w:w="40" w:type="dxa"/>
              <w:right w:w="40" w:type="dxa"/>
            </w:tcMar>
          </w:tcPr>
          <w:p>
            <w:pPr>
              <w:jc w:val="center"/>
            </w:pPr>
            <w:r>
              <w:t>Int64</w:t>
            </w:r>
          </w:p>
        </w:tc>
        <w:tc>
          <w:tcPr>
            <w:tcW w:type="dxa" w:w="1152"/>
            <w:tcMar>
              <w:top w:w="30" w:type="dxa"/>
              <w:bottom w:w="30" w:type="dxa"/>
              <w:left w:w="40" w:type="dxa"/>
              <w:right w:w="40" w:type="dxa"/>
            </w:tcMar>
          </w:tcPr>
          <w:p>
            <w:pPr>
              <w:jc w:val="center"/>
            </w:pPr>
            <w:r>
              <w:t>0</w:t>
            </w:r>
          </w:p>
        </w:tc>
        <w:tc>
          <w:tcPr>
            <w:tcW w:type="dxa" w:w="1152"/>
            <w:tcMar>
              <w:top w:w="30" w:type="dxa"/>
              <w:bottom w:w="30" w:type="dxa"/>
              <w:left w:w="40" w:type="dxa"/>
              <w:right w:w="40" w:type="dxa"/>
            </w:tcMar>
          </w:tcPr>
          <w:p>
            <w:pPr>
              <w:jc w:val="center"/>
            </w:pPr>
            <w:r>
              <w:t>0.0%</w:t>
            </w:r>
          </w:p>
        </w:tc>
        <w:tc>
          <w:tcPr>
            <w:tcW w:type="dxa" w:w="3312"/>
            <w:tcMar>
              <w:top w:w="30" w:type="dxa"/>
              <w:bottom w:w="30" w:type="dxa"/>
              <w:left w:w="40" w:type="dxa"/>
              <w:right w:w="40" w:type="dxa"/>
            </w:tcMar>
          </w:tcPr>
          <w:p>
            <w:pPr>
              <w:jc w:val="left"/>
            </w:pPr>
            <w:r>
              <w:t>Retained as binary classification target</w:t>
            </w:r>
          </w:p>
        </w:tc>
      </w:tr>
    </w:tbl>
    <w:p>
      <w:pPr>
        <w:spacing w:before="200" w:after="80" w:line="276" w:lineRule="auto"/>
        <w:jc w:val="left"/>
      </w:pPr>
      <w:r>
        <w:rPr>
          <w:rFonts w:ascii="Times New Roman" w:hAnsi="Times New Roman"/>
          <w:b/>
          <w:i w:val="0"/>
          <w:sz w:val="28"/>
        </w:rPr>
        <w:t>5.3 Data Cleaning and Target Distribution</w:t>
      </w:r>
    </w:p>
    <w:p>
      <w:pPr>
        <w:spacing w:before="0" w:after="120" w:line="276" w:lineRule="auto"/>
        <w:jc w:val="both"/>
      </w:pPr>
      <w:r>
        <w:rPr>
          <w:rFonts w:ascii="Times New Roman" w:hAnsi="Times New Roman"/>
          <w:b w:val="0"/>
          <w:i w:val="0"/>
          <w:sz w:val="24"/>
        </w:rPr>
        <w:t>Dataset deduplication via df.duplicated().sum() verified zero duplicate applications. The ground truth target distribution confirms 48,975 legitimate records (97.95%) versus 1,025 fraudulent records (2.05%). Figure 5.2 displays this critical class imbalance.</w:t>
      </w:r>
    </w:p>
    <w:p>
      <w:pPr>
        <w:spacing w:before="80" w:after="40"/>
        <w:jc w:val="center"/>
      </w:pPr>
      <w:r>
        <w:drawing>
          <wp:inline xmlns:a="http://schemas.openxmlformats.org/drawingml/2006/main" xmlns:pic="http://schemas.openxmlformats.org/drawingml/2006/picture">
            <wp:extent cx="5029200" cy="3233057"/>
            <wp:docPr id="6" name="Picture 6"/>
            <wp:cNvGraphicFramePr>
              <a:graphicFrameLocks noChangeAspect="1"/>
            </wp:cNvGraphicFramePr>
            <a:graphic>
              <a:graphicData uri="http://schemas.openxmlformats.org/drawingml/2006/picture">
                <pic:pic>
                  <pic:nvPicPr>
                    <pic:cNvPr id="0" name="fig_5_2_class_distribution.png"/>
                    <pic:cNvPicPr/>
                  </pic:nvPicPr>
                  <pic:blipFill>
                    <a:blip r:embed="rId14"/>
                    <a:stretch>
                      <a:fillRect/>
                    </a:stretch>
                  </pic:blipFill>
                  <pic:spPr>
                    <a:xfrm>
                      <a:off x="0" y="0"/>
                      <a:ext cx="5029200" cy="3233057"/>
                    </a:xfrm>
                    <a:prstGeom prst="rect"/>
                  </pic:spPr>
                </pic:pic>
              </a:graphicData>
            </a:graphic>
          </wp:inline>
        </w:drawing>
      </w:r>
    </w:p>
    <w:p>
      <w:pPr>
        <w:spacing w:before="80" w:after="160" w:line="276" w:lineRule="auto"/>
        <w:jc w:val="center"/>
      </w:pPr>
      <w:r>
        <w:rPr>
          <w:rFonts w:ascii="Times New Roman" w:hAnsi="Times New Roman"/>
          <w:b w:val="0"/>
          <w:i w:val="0"/>
          <w:sz w:val="22"/>
        </w:rPr>
        <w:t>Fig. 5.2 Class distribution of the target variable (fraud_flag)</w:t>
      </w:r>
    </w:p>
    <w:p>
      <w:r>
        <w:br w:type="page"/>
      </w:r>
    </w:p>
    <w:p>
      <w:pPr>
        <w:spacing w:before="200" w:after="80" w:line="276" w:lineRule="auto"/>
        <w:jc w:val="left"/>
      </w:pPr>
      <w:r>
        <w:rPr>
          <w:rFonts w:ascii="Times New Roman" w:hAnsi="Times New Roman"/>
          <w:b/>
          <w:i w:val="0"/>
          <w:sz w:val="28"/>
        </w:rPr>
        <w:t>5.4 Outlier Detection and Range Validation</w:t>
      </w:r>
    </w:p>
    <w:p>
      <w:pPr>
        <w:spacing w:before="0" w:after="120" w:line="276" w:lineRule="auto"/>
        <w:jc w:val="both"/>
      </w:pPr>
      <w:r>
        <w:rPr>
          <w:rFonts w:ascii="Times New Roman" w:hAnsi="Times New Roman"/>
          <w:b w:val="0"/>
          <w:i w:val="0"/>
          <w:sz w:val="24"/>
        </w:rPr>
        <w:t>Numerical features were evaluated using box plot visualizations and the interquartile range (IQR) rule: values beyond Q1 − 1.5×IQR or Q3 + 1.5×IQR were flagged for domain inspection. Figure 5.3 shows the box plots across all four features.</w:t>
      </w:r>
    </w:p>
    <w:p>
      <w:pPr>
        <w:spacing w:before="80" w:after="40"/>
        <w:jc w:val="center"/>
      </w:pPr>
      <w:r>
        <w:drawing>
          <wp:inline xmlns:a="http://schemas.openxmlformats.org/drawingml/2006/main" xmlns:pic="http://schemas.openxmlformats.org/drawingml/2006/picture">
            <wp:extent cx="5029200" cy="3520440"/>
            <wp:docPr id="7" name="Picture 7"/>
            <wp:cNvGraphicFramePr>
              <a:graphicFrameLocks noChangeAspect="1"/>
            </wp:cNvGraphicFramePr>
            <a:graphic>
              <a:graphicData uri="http://schemas.openxmlformats.org/drawingml/2006/picture">
                <pic:pic>
                  <pic:nvPicPr>
                    <pic:cNvPr id="0" name="fig_5_3_box_plots.png"/>
                    <pic:cNvPicPr/>
                  </pic:nvPicPr>
                  <pic:blipFill>
                    <a:blip r:embed="rId15"/>
                    <a:stretch>
                      <a:fillRect/>
                    </a:stretch>
                  </pic:blipFill>
                  <pic:spPr>
                    <a:xfrm>
                      <a:off x="0" y="0"/>
                      <a:ext cx="5029200" cy="3520440"/>
                    </a:xfrm>
                    <a:prstGeom prst="rect"/>
                  </pic:spPr>
                </pic:pic>
              </a:graphicData>
            </a:graphic>
          </wp:inline>
        </w:drawing>
      </w:r>
    </w:p>
    <w:p>
      <w:pPr>
        <w:spacing w:before="80" w:after="160" w:line="276" w:lineRule="auto"/>
        <w:jc w:val="center"/>
      </w:pPr>
      <w:r>
        <w:rPr>
          <w:rFonts w:ascii="Times New Roman" w:hAnsi="Times New Roman"/>
          <w:b w:val="0"/>
          <w:i w:val="0"/>
          <w:sz w:val="22"/>
        </w:rPr>
        <w:t>Fig. 5.3 Box plots of all features after cleaning (outlier check)</w:t>
      </w:r>
    </w:p>
    <w:p>
      <w:pPr>
        <w:spacing w:before="200" w:after="80" w:line="276" w:lineRule="auto"/>
        <w:jc w:val="left"/>
      </w:pPr>
      <w:r>
        <w:rPr>
          <w:rFonts w:ascii="Times New Roman" w:hAnsi="Times New Roman"/>
          <w:b/>
          <w:i w:val="0"/>
          <w:sz w:val="28"/>
        </w:rPr>
        <w:t>5.5 Feature Engineering and Variable Properties</w:t>
      </w:r>
    </w:p>
    <w:p>
      <w:pPr>
        <w:spacing w:before="0" w:after="120" w:line="276" w:lineRule="auto"/>
        <w:jc w:val="both"/>
      </w:pPr>
      <w:r>
        <w:rPr>
          <w:rFonts w:ascii="Times New Roman" w:hAnsi="Times New Roman"/>
          <w:b w:val="0"/>
          <w:i w:val="0"/>
          <w:sz w:val="24"/>
        </w:rPr>
        <w:t>All four predictors represent native continuous variables that reflect plausible financial behavior (e.g. loans up to $2,000,000 and incomes up to $500,000). Rather than truncating valid high-net-worth borrowers, extreme points were preserved to retain genuine financial leverage patterns. No categorical encoding was needed as all inputs are numerical.</w:t>
      </w:r>
    </w:p>
    <w:p>
      <w:r>
        <w:br w:type="page"/>
      </w:r>
    </w:p>
    <w:p>
      <w:pPr>
        <w:spacing w:before="160" w:after="60" w:line="276" w:lineRule="auto"/>
        <w:jc w:val="left"/>
      </w:pPr>
      <w:r>
        <w:rPr>
          <w:rFonts w:ascii="Times New Roman" w:hAnsi="Times New Roman"/>
          <w:b/>
          <w:i w:val="0"/>
          <w:sz w:val="24"/>
        </w:rPr>
        <w:t>Table 5.2: Statistical summary and range boundaries of evaluated features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1505"/>
        <w:gridCol w:w="1505"/>
        <w:gridCol w:w="1505"/>
        <w:gridCol w:w="1505"/>
        <w:gridCol w:w="1505"/>
        <w:gridCol w:w="1505"/>
      </w:tblGrid>
      <w:tr>
        <w:tc>
          <w:tcPr>
            <w:tcW w:type="dxa" w:w="2592"/>
            <w:shd w:fill="F5F5F5"/>
            <w:tcMar>
              <w:top w:w="30" w:type="dxa"/>
              <w:bottom w:w="30" w:type="dxa"/>
              <w:left w:w="40" w:type="dxa"/>
              <w:right w:w="40" w:type="dxa"/>
            </w:tcMar>
          </w:tcPr>
          <w:p>
            <w:pPr>
              <w:jc w:val="left"/>
            </w:pPr>
            <w:r>
              <w:rPr>
                <w:b/>
              </w:rPr>
              <w:t>Feature Name</w:t>
            </w:r>
          </w:p>
        </w:tc>
        <w:tc>
          <w:tcPr>
            <w:tcW w:type="dxa" w:w="1296"/>
            <w:shd w:fill="F5F5F5"/>
            <w:tcMar>
              <w:top w:w="30" w:type="dxa"/>
              <w:bottom w:w="30" w:type="dxa"/>
              <w:left w:w="40" w:type="dxa"/>
              <w:right w:w="40" w:type="dxa"/>
            </w:tcMar>
          </w:tcPr>
          <w:p>
            <w:pPr>
              <w:jc w:val="center"/>
            </w:pPr>
            <w:r>
              <w:rPr>
                <w:b/>
              </w:rPr>
              <w:t>Mean</w:t>
            </w:r>
          </w:p>
        </w:tc>
        <w:tc>
          <w:tcPr>
            <w:tcW w:type="dxa" w:w="1296"/>
            <w:shd w:fill="F5F5F5"/>
            <w:tcMar>
              <w:top w:w="30" w:type="dxa"/>
              <w:bottom w:w="30" w:type="dxa"/>
              <w:left w:w="40" w:type="dxa"/>
              <w:right w:w="40" w:type="dxa"/>
            </w:tcMar>
          </w:tcPr>
          <w:p>
            <w:pPr>
              <w:jc w:val="center"/>
            </w:pPr>
            <w:r>
              <w:rPr>
                <w:b/>
              </w:rPr>
              <w:t>Std Dev</w:t>
            </w:r>
          </w:p>
        </w:tc>
        <w:tc>
          <w:tcPr>
            <w:tcW w:type="dxa" w:w="1152"/>
            <w:shd w:fill="F5F5F5"/>
            <w:tcMar>
              <w:top w:w="30" w:type="dxa"/>
              <w:bottom w:w="30" w:type="dxa"/>
              <w:left w:w="40" w:type="dxa"/>
              <w:right w:w="40" w:type="dxa"/>
            </w:tcMar>
          </w:tcPr>
          <w:p>
            <w:pPr>
              <w:jc w:val="center"/>
            </w:pPr>
            <w:r>
              <w:rPr>
                <w:b/>
              </w:rPr>
              <w:t>Min</w:t>
            </w:r>
          </w:p>
        </w:tc>
        <w:tc>
          <w:tcPr>
            <w:tcW w:type="dxa" w:w="1296"/>
            <w:shd w:fill="F5F5F5"/>
            <w:tcMar>
              <w:top w:w="30" w:type="dxa"/>
              <w:bottom w:w="30" w:type="dxa"/>
              <w:left w:w="40" w:type="dxa"/>
              <w:right w:w="40" w:type="dxa"/>
            </w:tcMar>
          </w:tcPr>
          <w:p>
            <w:pPr>
              <w:jc w:val="center"/>
            </w:pPr>
            <w:r>
              <w:rPr>
                <w:b/>
              </w:rPr>
              <w:t>Median</w:t>
            </w:r>
          </w:p>
        </w:tc>
        <w:tc>
          <w:tcPr>
            <w:tcW w:type="dxa" w:w="1296"/>
            <w:shd w:fill="F5F5F5"/>
            <w:tcMar>
              <w:top w:w="30" w:type="dxa"/>
              <w:bottom w:w="30" w:type="dxa"/>
              <w:left w:w="40" w:type="dxa"/>
              <w:right w:w="40" w:type="dxa"/>
            </w:tcMar>
          </w:tcPr>
          <w:p>
            <w:pPr>
              <w:jc w:val="center"/>
            </w:pPr>
            <w:r>
              <w:rPr>
                <w:b/>
              </w:rPr>
              <w:t>Max</w:t>
            </w:r>
          </w:p>
        </w:tc>
      </w:tr>
      <w:tr>
        <w:tc>
          <w:tcPr>
            <w:tcW w:type="dxa" w:w="2592"/>
            <w:tcMar>
              <w:top w:w="30" w:type="dxa"/>
              <w:bottom w:w="30" w:type="dxa"/>
              <w:left w:w="40" w:type="dxa"/>
              <w:right w:w="40" w:type="dxa"/>
            </w:tcMar>
          </w:tcPr>
          <w:p>
            <w:pPr>
              <w:jc w:val="left"/>
            </w:pPr>
            <w:r>
              <w:t>loan_amount_requested</w:t>
            </w:r>
          </w:p>
        </w:tc>
        <w:tc>
          <w:tcPr>
            <w:tcW w:type="dxa" w:w="1296"/>
            <w:tcMar>
              <w:top w:w="30" w:type="dxa"/>
              <w:bottom w:w="30" w:type="dxa"/>
              <w:left w:w="40" w:type="dxa"/>
              <w:right w:w="40" w:type="dxa"/>
            </w:tcMar>
          </w:tcPr>
          <w:p>
            <w:pPr>
              <w:jc w:val="center"/>
            </w:pPr>
            <w:r>
              <w:t>$502,410</w:t>
            </w:r>
          </w:p>
        </w:tc>
        <w:tc>
          <w:tcPr>
            <w:tcW w:type="dxa" w:w="1296"/>
            <w:tcMar>
              <w:top w:w="30" w:type="dxa"/>
              <w:bottom w:w="30" w:type="dxa"/>
              <w:left w:w="40" w:type="dxa"/>
              <w:right w:w="40" w:type="dxa"/>
            </w:tcMar>
          </w:tcPr>
          <w:p>
            <w:pPr>
              <w:jc w:val="center"/>
            </w:pPr>
            <w:r>
              <w:t>$348,120</w:t>
            </w:r>
          </w:p>
        </w:tc>
        <w:tc>
          <w:tcPr>
            <w:tcW w:type="dxa" w:w="1152"/>
            <w:tcMar>
              <w:top w:w="30" w:type="dxa"/>
              <w:bottom w:w="30" w:type="dxa"/>
              <w:left w:w="40" w:type="dxa"/>
              <w:right w:w="40" w:type="dxa"/>
            </w:tcMar>
          </w:tcPr>
          <w:p>
            <w:pPr>
              <w:jc w:val="center"/>
            </w:pPr>
            <w:r>
              <w:t>$1,000</w:t>
            </w:r>
          </w:p>
        </w:tc>
        <w:tc>
          <w:tcPr>
            <w:tcW w:type="dxa" w:w="1296"/>
            <w:tcMar>
              <w:top w:w="30" w:type="dxa"/>
              <w:bottom w:w="30" w:type="dxa"/>
              <w:left w:w="40" w:type="dxa"/>
              <w:right w:w="40" w:type="dxa"/>
            </w:tcMar>
          </w:tcPr>
          <w:p>
            <w:pPr>
              <w:jc w:val="center"/>
            </w:pPr>
            <w:r>
              <w:t>$420,000</w:t>
            </w:r>
          </w:p>
        </w:tc>
        <w:tc>
          <w:tcPr>
            <w:tcW w:type="dxa" w:w="1296"/>
            <w:tcMar>
              <w:top w:w="30" w:type="dxa"/>
              <w:bottom w:w="30" w:type="dxa"/>
              <w:left w:w="40" w:type="dxa"/>
              <w:right w:w="40" w:type="dxa"/>
            </w:tcMar>
          </w:tcPr>
          <w:p>
            <w:pPr>
              <w:jc w:val="center"/>
            </w:pPr>
            <w:r>
              <w:t>$2,000,000</w:t>
            </w:r>
          </w:p>
        </w:tc>
      </w:tr>
      <w:tr>
        <w:tc>
          <w:tcPr>
            <w:tcW w:type="dxa" w:w="2592"/>
            <w:tcMar>
              <w:top w:w="30" w:type="dxa"/>
              <w:bottom w:w="30" w:type="dxa"/>
              <w:left w:w="40" w:type="dxa"/>
              <w:right w:w="40" w:type="dxa"/>
            </w:tcMar>
          </w:tcPr>
          <w:p>
            <w:pPr>
              <w:jc w:val="left"/>
            </w:pPr>
            <w:r>
              <w:t>monthly_income</w:t>
            </w:r>
          </w:p>
        </w:tc>
        <w:tc>
          <w:tcPr>
            <w:tcW w:type="dxa" w:w="1296"/>
            <w:tcMar>
              <w:top w:w="30" w:type="dxa"/>
              <w:bottom w:w="30" w:type="dxa"/>
              <w:left w:w="40" w:type="dxa"/>
              <w:right w:w="40" w:type="dxa"/>
            </w:tcMar>
          </w:tcPr>
          <w:p>
            <w:pPr>
              <w:jc w:val="center"/>
            </w:pPr>
            <w:r>
              <w:t>$48,950</w:t>
            </w:r>
          </w:p>
        </w:tc>
        <w:tc>
          <w:tcPr>
            <w:tcW w:type="dxa" w:w="1296"/>
            <w:tcMar>
              <w:top w:w="30" w:type="dxa"/>
              <w:bottom w:w="30" w:type="dxa"/>
              <w:left w:w="40" w:type="dxa"/>
              <w:right w:w="40" w:type="dxa"/>
            </w:tcMar>
          </w:tcPr>
          <w:p>
            <w:pPr>
              <w:jc w:val="center"/>
            </w:pPr>
            <w:r>
              <w:t>$36,240</w:t>
            </w:r>
          </w:p>
        </w:tc>
        <w:tc>
          <w:tcPr>
            <w:tcW w:type="dxa" w:w="1152"/>
            <w:tcMar>
              <w:top w:w="30" w:type="dxa"/>
              <w:bottom w:w="30" w:type="dxa"/>
              <w:left w:w="40" w:type="dxa"/>
              <w:right w:w="40" w:type="dxa"/>
            </w:tcMar>
          </w:tcPr>
          <w:p>
            <w:pPr>
              <w:jc w:val="center"/>
            </w:pPr>
            <w:r>
              <w:t>$500</w:t>
            </w:r>
          </w:p>
        </w:tc>
        <w:tc>
          <w:tcPr>
            <w:tcW w:type="dxa" w:w="1296"/>
            <w:tcMar>
              <w:top w:w="30" w:type="dxa"/>
              <w:bottom w:w="30" w:type="dxa"/>
              <w:left w:w="40" w:type="dxa"/>
              <w:right w:w="40" w:type="dxa"/>
            </w:tcMar>
          </w:tcPr>
          <w:p>
            <w:pPr>
              <w:jc w:val="center"/>
            </w:pPr>
            <w:r>
              <w:t>$41,000</w:t>
            </w:r>
          </w:p>
        </w:tc>
        <w:tc>
          <w:tcPr>
            <w:tcW w:type="dxa" w:w="1296"/>
            <w:tcMar>
              <w:top w:w="30" w:type="dxa"/>
              <w:bottom w:w="30" w:type="dxa"/>
              <w:left w:w="40" w:type="dxa"/>
              <w:right w:w="40" w:type="dxa"/>
            </w:tcMar>
          </w:tcPr>
          <w:p>
            <w:pPr>
              <w:jc w:val="center"/>
            </w:pPr>
            <w:r>
              <w:t>$500,000</w:t>
            </w:r>
          </w:p>
        </w:tc>
      </w:tr>
      <w:tr>
        <w:tc>
          <w:tcPr>
            <w:tcW w:type="dxa" w:w="2592"/>
            <w:tcMar>
              <w:top w:w="30" w:type="dxa"/>
              <w:bottom w:w="30" w:type="dxa"/>
              <w:left w:w="40" w:type="dxa"/>
              <w:right w:w="40" w:type="dxa"/>
            </w:tcMar>
          </w:tcPr>
          <w:p>
            <w:pPr>
              <w:jc w:val="left"/>
            </w:pPr>
            <w:r>
              <w:t>cibil_score</w:t>
            </w:r>
          </w:p>
        </w:tc>
        <w:tc>
          <w:tcPr>
            <w:tcW w:type="dxa" w:w="1296"/>
            <w:tcMar>
              <w:top w:w="30" w:type="dxa"/>
              <w:bottom w:w="30" w:type="dxa"/>
              <w:left w:w="40" w:type="dxa"/>
              <w:right w:w="40" w:type="dxa"/>
            </w:tcMar>
          </w:tcPr>
          <w:p>
            <w:pPr>
              <w:jc w:val="center"/>
            </w:pPr>
            <w:r>
              <w:t>651.2</w:t>
            </w:r>
          </w:p>
        </w:tc>
        <w:tc>
          <w:tcPr>
            <w:tcW w:type="dxa" w:w="1296"/>
            <w:tcMar>
              <w:top w:w="30" w:type="dxa"/>
              <w:bottom w:w="30" w:type="dxa"/>
              <w:left w:w="40" w:type="dxa"/>
              <w:right w:w="40" w:type="dxa"/>
            </w:tcMar>
          </w:tcPr>
          <w:p>
            <w:pPr>
              <w:jc w:val="center"/>
            </w:pPr>
            <w:r>
              <w:t>118.4</w:t>
            </w:r>
          </w:p>
        </w:tc>
        <w:tc>
          <w:tcPr>
            <w:tcW w:type="dxa" w:w="1152"/>
            <w:tcMar>
              <w:top w:w="30" w:type="dxa"/>
              <w:bottom w:w="30" w:type="dxa"/>
              <w:left w:w="40" w:type="dxa"/>
              <w:right w:w="40" w:type="dxa"/>
            </w:tcMar>
          </w:tcPr>
          <w:p>
            <w:pPr>
              <w:jc w:val="center"/>
            </w:pPr>
            <w:r>
              <w:t>300.0</w:t>
            </w:r>
          </w:p>
        </w:tc>
        <w:tc>
          <w:tcPr>
            <w:tcW w:type="dxa" w:w="1296"/>
            <w:tcMar>
              <w:top w:w="30" w:type="dxa"/>
              <w:bottom w:w="30" w:type="dxa"/>
              <w:left w:w="40" w:type="dxa"/>
              <w:right w:w="40" w:type="dxa"/>
            </w:tcMar>
          </w:tcPr>
          <w:p>
            <w:pPr>
              <w:jc w:val="center"/>
            </w:pPr>
            <w:r>
              <w:t>660.0</w:t>
            </w:r>
          </w:p>
        </w:tc>
        <w:tc>
          <w:tcPr>
            <w:tcW w:type="dxa" w:w="1296"/>
            <w:tcMar>
              <w:top w:w="30" w:type="dxa"/>
              <w:bottom w:w="30" w:type="dxa"/>
              <w:left w:w="40" w:type="dxa"/>
              <w:right w:w="40" w:type="dxa"/>
            </w:tcMar>
          </w:tcPr>
          <w:p>
            <w:pPr>
              <w:jc w:val="center"/>
            </w:pPr>
            <w:r>
              <w:t>900.0</w:t>
            </w:r>
          </w:p>
        </w:tc>
      </w:tr>
      <w:tr>
        <w:tc>
          <w:tcPr>
            <w:tcW w:type="dxa" w:w="2592"/>
            <w:tcMar>
              <w:top w:w="30" w:type="dxa"/>
              <w:bottom w:w="30" w:type="dxa"/>
              <w:left w:w="40" w:type="dxa"/>
              <w:right w:w="40" w:type="dxa"/>
            </w:tcMar>
          </w:tcPr>
          <w:p>
            <w:pPr>
              <w:jc w:val="left"/>
            </w:pPr>
            <w:r>
              <w:t>debt_to_income_ratio</w:t>
            </w:r>
          </w:p>
        </w:tc>
        <w:tc>
          <w:tcPr>
            <w:tcW w:type="dxa" w:w="1296"/>
            <w:tcMar>
              <w:top w:w="30" w:type="dxa"/>
              <w:bottom w:w="30" w:type="dxa"/>
              <w:left w:w="40" w:type="dxa"/>
              <w:right w:w="40" w:type="dxa"/>
            </w:tcMar>
          </w:tcPr>
          <w:p>
            <w:pPr>
              <w:jc w:val="center"/>
            </w:pPr>
            <w:r>
              <w:t>32.4%</w:t>
            </w:r>
          </w:p>
        </w:tc>
        <w:tc>
          <w:tcPr>
            <w:tcW w:type="dxa" w:w="1296"/>
            <w:tcMar>
              <w:top w:w="30" w:type="dxa"/>
              <w:bottom w:w="30" w:type="dxa"/>
              <w:left w:w="40" w:type="dxa"/>
              <w:right w:w="40" w:type="dxa"/>
            </w:tcMar>
          </w:tcPr>
          <w:p>
            <w:pPr>
              <w:jc w:val="center"/>
            </w:pPr>
            <w:r>
              <w:t>16.8%</w:t>
            </w:r>
          </w:p>
        </w:tc>
        <w:tc>
          <w:tcPr>
            <w:tcW w:type="dxa" w:w="1152"/>
            <w:tcMar>
              <w:top w:w="30" w:type="dxa"/>
              <w:bottom w:w="30" w:type="dxa"/>
              <w:left w:w="40" w:type="dxa"/>
              <w:right w:w="40" w:type="dxa"/>
            </w:tcMar>
          </w:tcPr>
          <w:p>
            <w:pPr>
              <w:jc w:val="center"/>
            </w:pPr>
            <w:r>
              <w:t>0.0%</w:t>
            </w:r>
          </w:p>
        </w:tc>
        <w:tc>
          <w:tcPr>
            <w:tcW w:type="dxa" w:w="1296"/>
            <w:tcMar>
              <w:top w:w="30" w:type="dxa"/>
              <w:bottom w:w="30" w:type="dxa"/>
              <w:left w:w="40" w:type="dxa"/>
              <w:right w:w="40" w:type="dxa"/>
            </w:tcMar>
          </w:tcPr>
          <w:p>
            <w:pPr>
              <w:jc w:val="center"/>
            </w:pPr>
            <w:r>
              <w:t>31.2%</w:t>
            </w:r>
          </w:p>
        </w:tc>
        <w:tc>
          <w:tcPr>
            <w:tcW w:type="dxa" w:w="1296"/>
            <w:tcMar>
              <w:top w:w="30" w:type="dxa"/>
              <w:bottom w:w="30" w:type="dxa"/>
              <w:left w:w="40" w:type="dxa"/>
              <w:right w:w="40" w:type="dxa"/>
            </w:tcMar>
          </w:tcPr>
          <w:p>
            <w:pPr>
              <w:jc w:val="center"/>
            </w:pPr>
            <w:r>
              <w:t>100.0%</w:t>
            </w:r>
          </w:p>
        </w:tc>
      </w:tr>
      <w:tr>
        <w:tc>
          <w:tcPr>
            <w:tcW w:type="dxa" w:w="2592"/>
            <w:tcMar>
              <w:top w:w="30" w:type="dxa"/>
              <w:bottom w:w="30" w:type="dxa"/>
              <w:left w:w="40" w:type="dxa"/>
              <w:right w:w="40" w:type="dxa"/>
            </w:tcMar>
          </w:tcPr>
          <w:p>
            <w:pPr>
              <w:jc w:val="left"/>
            </w:pPr>
            <w:r>
              <w:t>fraud_flag</w:t>
            </w:r>
          </w:p>
        </w:tc>
        <w:tc>
          <w:tcPr>
            <w:tcW w:type="dxa" w:w="1296"/>
            <w:tcMar>
              <w:top w:w="30" w:type="dxa"/>
              <w:bottom w:w="30" w:type="dxa"/>
              <w:left w:w="40" w:type="dxa"/>
              <w:right w:w="40" w:type="dxa"/>
            </w:tcMar>
          </w:tcPr>
          <w:p>
            <w:pPr>
              <w:jc w:val="center"/>
            </w:pPr>
            <w:r>
              <w:t>0.0205</w:t>
            </w:r>
          </w:p>
        </w:tc>
        <w:tc>
          <w:tcPr>
            <w:tcW w:type="dxa" w:w="1296"/>
            <w:tcMar>
              <w:top w:w="30" w:type="dxa"/>
              <w:bottom w:w="30" w:type="dxa"/>
              <w:left w:w="40" w:type="dxa"/>
              <w:right w:w="40" w:type="dxa"/>
            </w:tcMar>
          </w:tcPr>
          <w:p>
            <w:pPr>
              <w:jc w:val="center"/>
            </w:pPr>
            <w:r>
              <w:t>0.1417</w:t>
            </w:r>
          </w:p>
        </w:tc>
        <w:tc>
          <w:tcPr>
            <w:tcW w:type="dxa" w:w="1152"/>
            <w:tcMar>
              <w:top w:w="30" w:type="dxa"/>
              <w:bottom w:w="30" w:type="dxa"/>
              <w:left w:w="40" w:type="dxa"/>
              <w:right w:w="40" w:type="dxa"/>
            </w:tcMar>
          </w:tcPr>
          <w:p>
            <w:pPr>
              <w:jc w:val="center"/>
            </w:pPr>
            <w:r>
              <w:t>0</w:t>
            </w:r>
          </w:p>
        </w:tc>
        <w:tc>
          <w:tcPr>
            <w:tcW w:type="dxa" w:w="1296"/>
            <w:tcMar>
              <w:top w:w="30" w:type="dxa"/>
              <w:bottom w:w="30" w:type="dxa"/>
              <w:left w:w="40" w:type="dxa"/>
              <w:right w:w="40" w:type="dxa"/>
            </w:tcMar>
          </w:tcPr>
          <w:p>
            <w:pPr>
              <w:jc w:val="center"/>
            </w:pPr>
            <w:r>
              <w:t>0</w:t>
            </w:r>
          </w:p>
        </w:tc>
        <w:tc>
          <w:tcPr>
            <w:tcW w:type="dxa" w:w="1296"/>
            <w:tcMar>
              <w:top w:w="30" w:type="dxa"/>
              <w:bottom w:w="30" w:type="dxa"/>
              <w:left w:w="40" w:type="dxa"/>
              <w:right w:w="40" w:type="dxa"/>
            </w:tcMar>
          </w:tcPr>
          <w:p>
            <w:pPr>
              <w:jc w:val="center"/>
            </w:pPr>
            <w:r>
              <w:t>1</w:t>
            </w:r>
          </w:p>
        </w:tc>
      </w:tr>
    </w:tbl>
    <w:p>
      <w:pPr>
        <w:spacing w:before="80" w:after="40"/>
        <w:jc w:val="center"/>
      </w:pPr>
      <w:r>
        <w:drawing>
          <wp:inline xmlns:a="http://schemas.openxmlformats.org/drawingml/2006/main" xmlns:pic="http://schemas.openxmlformats.org/drawingml/2006/picture">
            <wp:extent cx="5029200" cy="3135854"/>
            <wp:docPr id="8" name="Picture 8"/>
            <wp:cNvGraphicFramePr>
              <a:graphicFrameLocks noChangeAspect="1"/>
            </wp:cNvGraphicFramePr>
            <a:graphic>
              <a:graphicData uri="http://schemas.openxmlformats.org/drawingml/2006/picture">
                <pic:pic>
                  <pic:nvPicPr>
                    <pic:cNvPr id="0" name="fig_5_4_data_cleaning_output.png"/>
                    <pic:cNvPicPr/>
                  </pic:nvPicPr>
                  <pic:blipFill>
                    <a:blip r:embed="rId16"/>
                    <a:stretch>
                      <a:fillRect/>
                    </a:stretch>
                  </pic:blipFill>
                  <pic:spPr>
                    <a:xfrm>
                      <a:off x="0" y="0"/>
                      <a:ext cx="5029200" cy="3135854"/>
                    </a:xfrm>
                    <a:prstGeom prst="rect"/>
                  </pic:spPr>
                </pic:pic>
              </a:graphicData>
            </a:graphic>
          </wp:inline>
        </w:drawing>
      </w:r>
    </w:p>
    <w:p>
      <w:pPr>
        <w:spacing w:before="80" w:after="160" w:line="276" w:lineRule="auto"/>
        <w:jc w:val="center"/>
      </w:pPr>
      <w:r>
        <w:rPr>
          <w:rFonts w:ascii="Times New Roman" w:hAnsi="Times New Roman"/>
          <w:b w:val="0"/>
          <w:i w:val="0"/>
          <w:sz w:val="22"/>
        </w:rPr>
        <w:t>Fig. 5.4 Output of data_cleaning.py showing dataset statistics and class distribution</w:t>
      </w:r>
    </w:p>
    <w:p>
      <w:pPr>
        <w:spacing w:before="200" w:after="80" w:line="276" w:lineRule="auto"/>
        <w:jc w:val="left"/>
      </w:pPr>
      <w:r>
        <w:rPr>
          <w:rFonts w:ascii="Times New Roman" w:hAnsi="Times New Roman"/>
          <w:b/>
          <w:i w:val="0"/>
          <w:sz w:val="28"/>
        </w:rPr>
        <w:t>5.6 Data Visualization</w:t>
      </w:r>
    </w:p>
    <w:p>
      <w:pPr>
        <w:spacing w:before="0" w:after="120" w:line="276" w:lineRule="auto"/>
        <w:jc w:val="both"/>
      </w:pPr>
      <w:r>
        <w:rPr>
          <w:rFonts w:ascii="Times New Roman" w:hAnsi="Times New Roman"/>
          <w:b w:val="0"/>
          <w:i w:val="0"/>
          <w:sz w:val="24"/>
        </w:rPr>
        <w:t>Visualizing feature distributions reveals critical operational insights into applicant financial patterns. Figure 5.5 presents the univariate density distributions for all four numerical features.</w:t>
      </w:r>
    </w:p>
    <w:p>
      <w:r>
        <w:br w:type="page"/>
      </w:r>
    </w:p>
    <w:p>
      <w:pPr>
        <w:spacing w:before="80" w:after="40"/>
        <w:jc w:val="center"/>
      </w:pPr>
      <w:r>
        <w:drawing>
          <wp:inline xmlns:a="http://schemas.openxmlformats.org/drawingml/2006/main" xmlns:pic="http://schemas.openxmlformats.org/drawingml/2006/picture">
            <wp:extent cx="5120640" cy="3584448"/>
            <wp:docPr id="9" name="Picture 9"/>
            <wp:cNvGraphicFramePr>
              <a:graphicFrameLocks noChangeAspect="1"/>
            </wp:cNvGraphicFramePr>
            <a:graphic>
              <a:graphicData uri="http://schemas.openxmlformats.org/drawingml/2006/picture">
                <pic:pic>
                  <pic:nvPicPr>
                    <pic:cNvPr id="0" name="fig_5_5_feature_distributions.png"/>
                    <pic:cNvPicPr/>
                  </pic:nvPicPr>
                  <pic:blipFill>
                    <a:blip r:embed="rId17"/>
                    <a:stretch>
                      <a:fillRect/>
                    </a:stretch>
                  </pic:blipFill>
                  <pic:spPr>
                    <a:xfrm>
                      <a:off x="0" y="0"/>
                      <a:ext cx="5120640" cy="3584448"/>
                    </a:xfrm>
                    <a:prstGeom prst="rect"/>
                  </pic:spPr>
                </pic:pic>
              </a:graphicData>
            </a:graphic>
          </wp:inline>
        </w:drawing>
      </w:r>
    </w:p>
    <w:p>
      <w:pPr>
        <w:spacing w:before="80" w:after="160" w:line="276" w:lineRule="auto"/>
        <w:jc w:val="center"/>
      </w:pPr>
      <w:r>
        <w:rPr>
          <w:rFonts w:ascii="Times New Roman" w:hAnsi="Times New Roman"/>
          <w:b w:val="0"/>
          <w:i w:val="0"/>
          <w:sz w:val="22"/>
        </w:rPr>
        <w:t>Fig. 5.5 Feature distributions (univariate histograms with KDE)</w:t>
      </w:r>
    </w:p>
    <w:p>
      <w:pPr>
        <w:spacing w:before="0" w:after="120" w:line="276" w:lineRule="auto"/>
        <w:jc w:val="both"/>
      </w:pPr>
      <w:r>
        <w:rPr>
          <w:rFonts w:ascii="Times New Roman" w:hAnsi="Times New Roman"/>
          <w:b w:val="0"/>
          <w:i w:val="0"/>
          <w:sz w:val="24"/>
        </w:rPr>
        <w:t>Inspection of the distributions shows that loan_amount_requested and monthly_income exhibit positive (right) skewness, characteristic of retail credit portfolios where most applicants request moderate personal loans ($100k–$400k) while a small elite borrows substantial sums. CIBIL score exhibits an approximately bell-shaped distribution centered near 660, with tails spanning from subprime (300) to super-prime (900). Debt-to-income ratio displays a smooth distribution peaking near 30%, with an extended right tail extending to highly leveraged applicants committing over 60% of monthly income to debts.</w:t>
      </w:r>
    </w:p>
    <w:p>
      <w:r>
        <w:br w:type="page"/>
      </w:r>
    </w:p>
    <w:p>
      <w:pPr>
        <w:spacing w:before="80" w:after="40"/>
        <w:jc w:val="center"/>
      </w:pPr>
      <w:r>
        <w:drawing>
          <wp:inline xmlns:a="http://schemas.openxmlformats.org/drawingml/2006/main" xmlns:pic="http://schemas.openxmlformats.org/drawingml/2006/picture">
            <wp:extent cx="4754880" cy="3566160"/>
            <wp:docPr id="10" name="Picture 10"/>
            <wp:cNvGraphicFramePr>
              <a:graphicFrameLocks noChangeAspect="1"/>
            </wp:cNvGraphicFramePr>
            <a:graphic>
              <a:graphicData uri="http://schemas.openxmlformats.org/drawingml/2006/picture">
                <pic:pic>
                  <pic:nvPicPr>
                    <pic:cNvPr id="0" name="fig_5_6_correlation_matrix.png"/>
                    <pic:cNvPicPr/>
                  </pic:nvPicPr>
                  <pic:blipFill>
                    <a:blip r:embed="rId18"/>
                    <a:stretch>
                      <a:fillRect/>
                    </a:stretch>
                  </pic:blipFill>
                  <pic:spPr>
                    <a:xfrm>
                      <a:off x="0" y="0"/>
                      <a:ext cx="4754880" cy="3566160"/>
                    </a:xfrm>
                    <a:prstGeom prst="rect"/>
                  </pic:spPr>
                </pic:pic>
              </a:graphicData>
            </a:graphic>
          </wp:inline>
        </w:drawing>
      </w:r>
    </w:p>
    <w:p>
      <w:pPr>
        <w:spacing w:before="80" w:after="160" w:line="276" w:lineRule="auto"/>
        <w:jc w:val="center"/>
      </w:pPr>
      <w:r>
        <w:rPr>
          <w:rFonts w:ascii="Times New Roman" w:hAnsi="Times New Roman"/>
          <w:b w:val="0"/>
          <w:i w:val="0"/>
          <w:sz w:val="22"/>
        </w:rPr>
        <w:t>Fig. 5.6 Feature correlation heatmap</w:t>
      </w:r>
    </w:p>
    <w:p>
      <w:pPr>
        <w:spacing w:before="0" w:after="120" w:line="276" w:lineRule="auto"/>
        <w:jc w:val="both"/>
      </w:pPr>
      <w:r>
        <w:rPr>
          <w:rFonts w:ascii="Times New Roman" w:hAnsi="Times New Roman"/>
          <w:b w:val="0"/>
          <w:i w:val="0"/>
          <w:sz w:val="24"/>
        </w:rPr>
        <w:t>The correlation matrix in Figure 5.6 quantifies linear dependencies. While individual linear correlations with fraud_flag appear small in magnitude (typical of rare-event fraud datasets), debt-to-income ratio exhibits the strongest positive correlation, confirming that debt burden elevates default probability. Figure 5.7 compares CIBIL and DTI distributions across classes.</w:t>
      </w:r>
    </w:p>
    <w:p>
      <w:pPr>
        <w:spacing w:before="80" w:after="40"/>
        <w:jc w:val="center"/>
      </w:pPr>
      <w:r>
        <w:drawing>
          <wp:inline xmlns:a="http://schemas.openxmlformats.org/drawingml/2006/main" xmlns:pic="http://schemas.openxmlformats.org/drawingml/2006/picture">
            <wp:extent cx="4754880" cy="1945178"/>
            <wp:docPr id="11" name="Picture 11"/>
            <wp:cNvGraphicFramePr>
              <a:graphicFrameLocks noChangeAspect="1"/>
            </wp:cNvGraphicFramePr>
            <a:graphic>
              <a:graphicData uri="http://schemas.openxmlformats.org/drawingml/2006/picture">
                <pic:pic>
                  <pic:nvPicPr>
                    <pic:cNvPr id="0" name="fig_5_7_features_by_outcome.png"/>
                    <pic:cNvPicPr/>
                  </pic:nvPicPr>
                  <pic:blipFill>
                    <a:blip r:embed="rId19"/>
                    <a:stretch>
                      <a:fillRect/>
                    </a:stretch>
                  </pic:blipFill>
                  <pic:spPr>
                    <a:xfrm>
                      <a:off x="0" y="0"/>
                      <a:ext cx="4754880" cy="1945178"/>
                    </a:xfrm>
                    <a:prstGeom prst="rect"/>
                  </pic:spPr>
                </pic:pic>
              </a:graphicData>
            </a:graphic>
          </wp:inline>
        </w:drawing>
      </w:r>
    </w:p>
    <w:p>
      <w:pPr>
        <w:spacing w:before="80" w:after="160" w:line="276" w:lineRule="auto"/>
        <w:jc w:val="center"/>
      </w:pPr>
      <w:r>
        <w:rPr>
          <w:rFonts w:ascii="Times New Roman" w:hAnsi="Times New Roman"/>
          <w:b w:val="0"/>
          <w:i w:val="0"/>
          <w:sz w:val="22"/>
        </w:rPr>
        <w:t>Fig. 5.7 CIBIL score and DTI distributions by fraud outcome</w:t>
      </w:r>
    </w:p>
    <w:p>
      <w:pPr>
        <w:spacing w:before="200" w:after="80" w:line="276" w:lineRule="auto"/>
        <w:jc w:val="left"/>
      </w:pPr>
      <w:r>
        <w:rPr>
          <w:rFonts w:ascii="Times New Roman" w:hAnsi="Times New Roman"/>
          <w:b/>
          <w:i w:val="0"/>
          <w:sz w:val="28"/>
        </w:rPr>
        <w:t>5.7 Train-Test Split</w:t>
      </w:r>
    </w:p>
    <w:p>
      <w:pPr>
        <w:spacing w:before="0" w:after="120" w:line="276" w:lineRule="auto"/>
        <w:jc w:val="both"/>
      </w:pPr>
      <w:r>
        <w:rPr>
          <w:rFonts w:ascii="Times New Roman" w:hAnsi="Times New Roman"/>
          <w:b w:val="0"/>
          <w:i w:val="0"/>
          <w:sz w:val="24"/>
        </w:rPr>
        <w:t>The cleaned dataset was partitioned into 80% training (40,000 samples) and 20% holdout testing (10,000 samples) using scikit-learn's train_test_split. Stratification (stratify=y) was strictly enforced to guarantee identical class ratios in both splits.</w:t>
      </w:r>
    </w:p>
    <w:p>
      <w:r>
        <w:br w:type="page"/>
      </w:r>
    </w:p>
    <w:p>
      <w:pPr>
        <w:spacing w:before="0" w:after="120" w:line="276" w:lineRule="auto"/>
        <w:jc w:val="both"/>
      </w:pPr>
      <w:r>
        <w:rPr>
          <w:rFonts w:ascii="Times New Roman" w:hAnsi="Times New Roman"/>
          <w:b w:val="0"/>
          <w:i w:val="0"/>
          <w:sz w:val="24"/>
        </w:rPr>
        <w:t>As a result of stratified sampling, the 10,000-sample test partition contains exactly 9,795 legitimate applications (97.95%) and 205 fraudulent applications (2.05%). This holdout partition remained strictly untouched throughout model development and was utilized exclusively for unbiased final performance validation.</w:t>
      </w:r>
    </w:p>
    <w:p>
      <w:pPr>
        <w:spacing w:before="200" w:after="80" w:line="276" w:lineRule="auto"/>
        <w:jc w:val="left"/>
      </w:pPr>
      <w:r>
        <w:rPr>
          <w:rFonts w:ascii="Times New Roman" w:hAnsi="Times New Roman"/>
          <w:b/>
          <w:i w:val="0"/>
          <w:sz w:val="28"/>
        </w:rPr>
        <w:t>5.8 Summary</w:t>
      </w:r>
    </w:p>
    <w:p>
      <w:pPr>
        <w:spacing w:before="0" w:after="120" w:line="276" w:lineRule="auto"/>
        <w:jc w:val="both"/>
      </w:pPr>
      <w:r>
        <w:rPr>
          <w:rFonts w:ascii="Times New Roman" w:hAnsi="Times New Roman"/>
          <w:b w:val="0"/>
          <w:i w:val="0"/>
          <w:sz w:val="24"/>
        </w:rPr>
        <w:t>The data preprocessing phase established an audited, high-integrity dataset of 50,000 retail applications. Non-predictive metadata was purged, numerical validity was confirmed across all predictors, distributional characteristics were mapped, and a stratified split preserved class proportions. The stage was thus set for robust, cost-sensitive algorithmic modeling.</w:t>
      </w:r>
    </w:p>
    <w:p>
      <w:r>
        <w:br w:type="page"/>
      </w:r>
    </w:p>
    <w:p>
      <w:pPr>
        <w:spacing w:before="200" w:after="40" w:line="276" w:lineRule="auto"/>
        <w:jc w:val="center"/>
      </w:pPr>
      <w:r>
        <w:rPr>
          <w:rFonts w:ascii="Times New Roman" w:hAnsi="Times New Roman"/>
          <w:b/>
          <w:i w:val="0"/>
          <w:sz w:val="28"/>
        </w:rPr>
        <w:t>CHAPTER 6</w:t>
      </w:r>
    </w:p>
    <w:p>
      <w:pPr>
        <w:spacing w:before="0" w:after="280" w:line="276" w:lineRule="auto"/>
        <w:jc w:val="center"/>
      </w:pPr>
      <w:r>
        <w:rPr>
          <w:rFonts w:ascii="Times New Roman" w:hAnsi="Times New Roman"/>
          <w:b/>
          <w:i w:val="0"/>
          <w:sz w:val="28"/>
        </w:rPr>
        <w:t>METHODOLOGY AND ALGORITHMS</w:t>
      </w:r>
    </w:p>
    <w:p>
      <w:pPr>
        <w:spacing w:before="200" w:after="80" w:line="276" w:lineRule="auto"/>
        <w:jc w:val="left"/>
      </w:pPr>
      <w:r>
        <w:rPr>
          <w:rFonts w:ascii="Times New Roman" w:hAnsi="Times New Roman"/>
          <w:b/>
          <w:i w:val="0"/>
          <w:sz w:val="28"/>
        </w:rPr>
        <w:t>6.1 Introduction</w:t>
      </w:r>
    </w:p>
    <w:p>
      <w:pPr>
        <w:spacing w:before="0" w:after="120" w:line="276" w:lineRule="auto"/>
        <w:jc w:val="both"/>
      </w:pPr>
      <w:r>
        <w:rPr>
          <w:rFonts w:ascii="Times New Roman" w:hAnsi="Times New Roman"/>
          <w:b w:val="0"/>
          <w:i w:val="0"/>
          <w:sz w:val="24"/>
        </w:rPr>
        <w:t>Loan fraud detection is fundamentally a supervised binary classification challenge under extreme class imbalance. The objective is to map an applicant feature vector x = [loan_amount, monthly_income, cibil_score, dti_ratio] to a binary outcome y in {0, 1}. To achieve transparent underwriting without sacrificing statistical validity, Logistic Regression with balanced class weights was selected as the core modeling architecture.</w:t>
      </w:r>
    </w:p>
    <w:p>
      <w:pPr>
        <w:spacing w:before="200" w:after="80" w:line="276" w:lineRule="auto"/>
        <w:jc w:val="left"/>
      </w:pPr>
      <w:r>
        <w:rPr>
          <w:rFonts w:ascii="Times New Roman" w:hAnsi="Times New Roman"/>
          <w:b/>
          <w:i w:val="0"/>
          <w:sz w:val="28"/>
        </w:rPr>
        <w:t>6.2 Classification Techniques</w:t>
      </w:r>
    </w:p>
    <w:p>
      <w:pPr>
        <w:spacing w:before="160" w:after="60" w:line="276" w:lineRule="auto"/>
        <w:jc w:val="left"/>
      </w:pPr>
      <w:r>
        <w:rPr>
          <w:rFonts w:ascii="Times New Roman" w:hAnsi="Times New Roman"/>
          <w:b/>
          <w:i w:val="0"/>
          <w:sz w:val="24"/>
        </w:rPr>
        <w:t>6.2.1 Logistic Regression with Balanced Class Weights</w:t>
      </w:r>
    </w:p>
    <w:p>
      <w:pPr>
        <w:spacing w:before="0" w:after="120" w:line="276" w:lineRule="auto"/>
        <w:jc w:val="both"/>
      </w:pPr>
      <w:r>
        <w:rPr>
          <w:rFonts w:ascii="Times New Roman" w:hAnsi="Times New Roman"/>
          <w:b w:val="0"/>
          <w:i w:val="0"/>
          <w:sz w:val="24"/>
        </w:rPr>
        <w:t>Logistic Regression models the posterior probability of fraud using the logistic sigmoid function:</w:t>
        <w:br/>
        <w:t>P(y = 1 | x) = 1 / (1 + exp(-z))</w:t>
        <w:br/>
        <w:t>where the logit z is the linear combination of applicant features: z = beta_0 + beta_1*x_1 + beta_2*x_2 + beta_3*x_3 + beta_4*x_4.</w:t>
      </w:r>
    </w:p>
    <w:p>
      <w:pPr>
        <w:spacing w:before="0" w:after="120" w:line="276" w:lineRule="auto"/>
        <w:jc w:val="both"/>
      </w:pPr>
      <w:r>
        <w:rPr>
          <w:rFonts w:ascii="Times New Roman" w:hAnsi="Times New Roman"/>
          <w:b w:val="0"/>
          <w:i w:val="0"/>
          <w:sz w:val="24"/>
        </w:rPr>
        <w:t>Under standard maximum likelihood estimation, the objective function minimizes unweighted cross-entropy loss. With 98% legitimate cases, the optimizer achieves minimal loss by predicting zero fraud. To counteract this, LoanGuard-AI employs balanced class weighting, modifying the loss function to:</w:t>
        <w:br/>
        <w:t>L(beta) = - Sum [ w_1 * y_i * log(p_i) + w_0 * (1 - y_i) * log(1 - p_i) ]</w:t>
        <w:br/>
        <w:t>where weights are inversely proportional to class frequencies: w_j = N / (2 * N_j). For our dataset, this assigns a weighting of w_1 ≈ 24.39 to fraud cases versus w_0 ≈ 0.51 to legitimate cases, forcing the optimization solver to penalize missed fraud nearly 24 times more heavily.</w:t>
      </w:r>
    </w:p>
    <w:p>
      <w:r>
        <w:br w:type="page"/>
      </w:r>
    </w:p>
    <w:p>
      <w:pPr>
        <w:spacing w:before="160" w:after="60" w:line="276" w:lineRule="auto"/>
        <w:jc w:val="left"/>
      </w:pPr>
      <w:r>
        <w:rPr>
          <w:rFonts w:ascii="Times New Roman" w:hAnsi="Times New Roman"/>
          <w:b/>
          <w:i w:val="0"/>
          <w:sz w:val="24"/>
        </w:rPr>
        <w:t>6.2.2 Threshold Calibration and Probability Modeling</w:t>
      </w:r>
    </w:p>
    <w:p>
      <w:pPr>
        <w:spacing w:before="0" w:after="120" w:line="276" w:lineRule="auto"/>
        <w:jc w:val="both"/>
      </w:pPr>
      <w:r>
        <w:rPr>
          <w:rFonts w:ascii="Times New Roman" w:hAnsi="Times New Roman"/>
          <w:b w:val="0"/>
          <w:i w:val="0"/>
          <w:sz w:val="24"/>
        </w:rPr>
        <w:t>The standard default classification cutoff (p &gt;= 0.50) is often sub-optimal when class priors are highly skewed. Threshold calibration systematically maps model probabilities across operating cutoffs, enabling risk officers to select the specific operating point that aligns with institutional risk tolerance.</w:t>
      </w:r>
    </w:p>
    <w:p>
      <w:pPr>
        <w:spacing w:before="160" w:after="60" w:line="276" w:lineRule="auto"/>
        <w:jc w:val="left"/>
      </w:pPr>
      <w:r>
        <w:rPr>
          <w:rFonts w:ascii="Times New Roman" w:hAnsi="Times New Roman"/>
          <w:b/>
          <w:i w:val="0"/>
          <w:sz w:val="24"/>
        </w:rPr>
        <w:t>6.2.3 Class Weighting vs Resampling for Imbalanced Data</w:t>
      </w:r>
    </w:p>
    <w:p>
      <w:pPr>
        <w:spacing w:before="0" w:after="120" w:line="276" w:lineRule="auto"/>
        <w:jc w:val="both"/>
      </w:pPr>
      <w:r>
        <w:rPr>
          <w:rFonts w:ascii="Times New Roman" w:hAnsi="Times New Roman"/>
          <w:b w:val="0"/>
          <w:i w:val="0"/>
          <w:sz w:val="24"/>
        </w:rPr>
        <w:t>A common alternative to class weighting is synthetic oversampling (such as SMOTE). However, in financial underwriting, SMOTE generates synthetic borrowers by linear interpolation between minority points, frequently creating unrealistic combinations (e.g. extremely high debt with zero credit history). Loss re-weighting preserves the authentic empirical data distribution without hallucinating artificial records.</w:t>
      </w:r>
    </w:p>
    <w:p>
      <w:pPr>
        <w:spacing w:before="200" w:after="80" w:line="276" w:lineRule="auto"/>
        <w:jc w:val="left"/>
      </w:pPr>
      <w:r>
        <w:rPr>
          <w:rFonts w:ascii="Times New Roman" w:hAnsi="Times New Roman"/>
          <w:b/>
          <w:i w:val="0"/>
          <w:sz w:val="28"/>
        </w:rPr>
        <w:t>6.3 Evaluation Metrics for Severe Class Imbalance</w:t>
      </w:r>
    </w:p>
    <w:p>
      <w:pPr>
        <w:spacing w:before="160" w:after="60" w:line="276" w:lineRule="auto"/>
        <w:jc w:val="left"/>
      </w:pPr>
      <w:r>
        <w:rPr>
          <w:rFonts w:ascii="Times New Roman" w:hAnsi="Times New Roman"/>
          <w:b/>
          <w:i w:val="0"/>
          <w:sz w:val="24"/>
        </w:rPr>
        <w:t>6.3.1 Confusion Matrix &amp; Financial Risk Exposure</w:t>
      </w:r>
    </w:p>
    <w:p>
      <w:pPr>
        <w:spacing w:before="0" w:after="120" w:line="276" w:lineRule="auto"/>
        <w:jc w:val="both"/>
      </w:pPr>
      <w:r>
        <w:rPr>
          <w:rFonts w:ascii="Times New Roman" w:hAnsi="Times New Roman"/>
          <w:b w:val="0"/>
          <w:i w:val="0"/>
          <w:sz w:val="24"/>
        </w:rPr>
        <w:t>Evaluating fraud models requires tracking all four quadrants of the confusion matrix:</w:t>
        <w:br/>
        <w:t>• True Positives (TP): Fraudulent loans correctly intercepted.</w:t>
        <w:br/>
        <w:t>• False Positives (FP): Legitimate loans flagged for manual audit.</w:t>
        <w:br/>
        <w:t>• True Negatives (TN): Legitimate loans approved without friction.</w:t>
        <w:br/>
        <w:t>• False Negatives (FN): Fraudulent loans that evade detection, leading to full principal loss.</w:t>
        <w:br/>
        <w:t>The commercial loss function is formalized as: Total Cost = (FN * C_FN) + (FP * C_FP), where C_FN = $35,000 (average charge-off) and C_FP = $150 (manual underwriting review cost).</w:t>
      </w:r>
    </w:p>
    <w:p>
      <w:r>
        <w:br w:type="page"/>
      </w:r>
    </w:p>
    <w:p>
      <w:pPr>
        <w:spacing w:before="160" w:after="60" w:line="276" w:lineRule="auto"/>
        <w:jc w:val="left"/>
      </w:pPr>
      <w:r>
        <w:rPr>
          <w:rFonts w:ascii="Times New Roman" w:hAnsi="Times New Roman"/>
          <w:b/>
          <w:i w:val="0"/>
          <w:sz w:val="24"/>
        </w:rPr>
        <w:t>6.3.2 Balanced Accuracy, Precision, Recall &amp; PR-AUC</w:t>
      </w:r>
    </w:p>
    <w:p>
      <w:pPr>
        <w:spacing w:before="0" w:after="120" w:line="276" w:lineRule="auto"/>
        <w:jc w:val="both"/>
      </w:pPr>
      <w:r>
        <w:rPr>
          <w:rFonts w:ascii="Times New Roman" w:hAnsi="Times New Roman"/>
          <w:b w:val="0"/>
          <w:i w:val="0"/>
          <w:sz w:val="24"/>
        </w:rPr>
        <w:t>Due to severe class imbalance, raw Accuracy is uninformative. LoanGuard-AI prioritizes:</w:t>
        <w:br/>
        <w:t>• Balanced Accuracy: (Sensitivity + Specificity) / 2, immune to class imbalance.</w:t>
        <w:br/>
        <w:t>• Recall / Sensitivity: Proportion of actual fraudsters intercepted (TP / (TP + FN)).</w:t>
        <w:br/>
        <w:t>• Precision: Proportion of flagged applications that are genuine fraud (TP / (TP + FP)).</w:t>
        <w:br/>
        <w:t>• PR-AUC (Average Precision): Area under Precision-Recall curve, bench-marked against the 2.05% random guessing baseline.</w:t>
      </w:r>
    </w:p>
    <w:p>
      <w:pPr>
        <w:spacing w:before="200" w:after="80" w:line="276" w:lineRule="auto"/>
        <w:jc w:val="left"/>
      </w:pPr>
      <w:r>
        <w:rPr>
          <w:rFonts w:ascii="Times New Roman" w:hAnsi="Times New Roman"/>
          <w:b/>
          <w:i w:val="0"/>
          <w:sz w:val="28"/>
        </w:rPr>
        <w:t>6.4 Decision Threshold Tuning Methodology</w:t>
      </w:r>
    </w:p>
    <w:p>
      <w:pPr>
        <w:spacing w:before="0" w:after="120" w:line="276" w:lineRule="auto"/>
        <w:jc w:val="both"/>
      </w:pPr>
      <w:r>
        <w:rPr>
          <w:rFonts w:ascii="Times New Roman" w:hAnsi="Times New Roman"/>
          <w:b w:val="0"/>
          <w:i w:val="0"/>
          <w:sz w:val="24"/>
        </w:rPr>
        <w:t>Decision thresholds were scanned from 0.10 to 0.90 in increments of 0.10. Table 6.1 presents the search space and observed trade-offs.</w:t>
      </w:r>
    </w:p>
    <w:p>
      <w:pPr>
        <w:spacing w:before="160" w:after="60" w:line="276" w:lineRule="auto"/>
        <w:jc w:val="left"/>
      </w:pPr>
      <w:r>
        <w:rPr>
          <w:rFonts w:ascii="Times New Roman" w:hAnsi="Times New Roman"/>
          <w:b/>
          <w:i w:val="0"/>
          <w:sz w:val="24"/>
        </w:rPr>
        <w:t>Table 6.1: Decision threshold search space and impact metrics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1505"/>
        <w:gridCol w:w="1505"/>
        <w:gridCol w:w="1505"/>
        <w:gridCol w:w="1505"/>
        <w:gridCol w:w="1505"/>
        <w:gridCol w:w="1505"/>
      </w:tblGrid>
      <w:tr>
        <w:tc>
          <w:tcPr>
            <w:tcW w:type="dxa" w:w="1584"/>
            <w:shd w:fill="F5F5F5"/>
            <w:tcMar>
              <w:top w:w="30" w:type="dxa"/>
              <w:bottom w:w="30" w:type="dxa"/>
              <w:left w:w="40" w:type="dxa"/>
              <w:right w:w="40" w:type="dxa"/>
            </w:tcMar>
          </w:tcPr>
          <w:p>
            <w:pPr>
              <w:jc w:val="center"/>
            </w:pPr>
            <w:r>
              <w:rPr>
                <w:b/>
              </w:rPr>
              <w:t>Threshold</w:t>
            </w:r>
          </w:p>
        </w:tc>
        <w:tc>
          <w:tcPr>
            <w:tcW w:type="dxa" w:w="1152"/>
            <w:shd w:fill="F5F5F5"/>
            <w:tcMar>
              <w:top w:w="30" w:type="dxa"/>
              <w:bottom w:w="30" w:type="dxa"/>
              <w:left w:w="40" w:type="dxa"/>
              <w:right w:w="40" w:type="dxa"/>
            </w:tcMar>
          </w:tcPr>
          <w:p>
            <w:pPr>
              <w:jc w:val="center"/>
            </w:pPr>
            <w:r>
              <w:rPr>
                <w:b/>
              </w:rPr>
              <w:t>Accuracy</w:t>
            </w:r>
          </w:p>
        </w:tc>
        <w:tc>
          <w:tcPr>
            <w:tcW w:type="dxa" w:w="1152"/>
            <w:shd w:fill="F5F5F5"/>
            <w:tcMar>
              <w:top w:w="30" w:type="dxa"/>
              <w:bottom w:w="30" w:type="dxa"/>
              <w:left w:w="40" w:type="dxa"/>
              <w:right w:w="40" w:type="dxa"/>
            </w:tcMar>
          </w:tcPr>
          <w:p>
            <w:pPr>
              <w:jc w:val="center"/>
            </w:pPr>
            <w:r>
              <w:rPr>
                <w:b/>
              </w:rPr>
              <w:t>Precision</w:t>
            </w:r>
          </w:p>
        </w:tc>
        <w:tc>
          <w:tcPr>
            <w:tcW w:type="dxa" w:w="1152"/>
            <w:shd w:fill="F5F5F5"/>
            <w:tcMar>
              <w:top w:w="30" w:type="dxa"/>
              <w:bottom w:w="30" w:type="dxa"/>
              <w:left w:w="40" w:type="dxa"/>
              <w:right w:w="40" w:type="dxa"/>
            </w:tcMar>
          </w:tcPr>
          <w:p>
            <w:pPr>
              <w:jc w:val="center"/>
            </w:pPr>
            <w:r>
              <w:rPr>
                <w:b/>
              </w:rPr>
              <w:t>Recall</w:t>
            </w:r>
          </w:p>
        </w:tc>
        <w:tc>
          <w:tcPr>
            <w:tcW w:type="dxa" w:w="1152"/>
            <w:shd w:fill="F5F5F5"/>
            <w:tcMar>
              <w:top w:w="30" w:type="dxa"/>
              <w:bottom w:w="30" w:type="dxa"/>
              <w:left w:w="40" w:type="dxa"/>
              <w:right w:w="40" w:type="dxa"/>
            </w:tcMar>
          </w:tcPr>
          <w:p>
            <w:pPr>
              <w:jc w:val="center"/>
            </w:pPr>
            <w:r>
              <w:rPr>
                <w:b/>
              </w:rPr>
              <w:t>F1-Score</w:t>
            </w:r>
          </w:p>
        </w:tc>
        <w:tc>
          <w:tcPr>
            <w:tcW w:type="dxa" w:w="2736"/>
            <w:shd w:fill="F5F5F5"/>
            <w:tcMar>
              <w:top w:w="30" w:type="dxa"/>
              <w:bottom w:w="30" w:type="dxa"/>
              <w:left w:w="40" w:type="dxa"/>
              <w:right w:w="40" w:type="dxa"/>
            </w:tcMar>
          </w:tcPr>
          <w:p>
            <w:pPr>
              <w:jc w:val="left"/>
            </w:pPr>
            <w:r>
              <w:rPr>
                <w:b/>
              </w:rPr>
              <w:t>Underwriting Impact</w:t>
            </w:r>
          </w:p>
        </w:tc>
      </w:tr>
      <w:tr>
        <w:tc>
          <w:tcPr>
            <w:tcW w:type="dxa" w:w="1584"/>
            <w:tcMar>
              <w:top w:w="30" w:type="dxa"/>
              <w:bottom w:w="30" w:type="dxa"/>
              <w:left w:w="40" w:type="dxa"/>
              <w:right w:w="40" w:type="dxa"/>
            </w:tcMar>
          </w:tcPr>
          <w:p>
            <w:pPr>
              <w:jc w:val="center"/>
            </w:pPr>
            <w:r>
              <w:t>0.10 – 0.40</w:t>
            </w:r>
          </w:p>
        </w:tc>
        <w:tc>
          <w:tcPr>
            <w:tcW w:type="dxa" w:w="1152"/>
            <w:tcMar>
              <w:top w:w="30" w:type="dxa"/>
              <w:bottom w:w="30" w:type="dxa"/>
              <w:left w:w="40" w:type="dxa"/>
              <w:right w:w="40" w:type="dxa"/>
            </w:tcMar>
          </w:tcPr>
          <w:p>
            <w:pPr>
              <w:jc w:val="center"/>
            </w:pPr>
            <w:r>
              <w:t>0.0205</w:t>
            </w:r>
          </w:p>
        </w:tc>
        <w:tc>
          <w:tcPr>
            <w:tcW w:type="dxa" w:w="1152"/>
            <w:tcMar>
              <w:top w:w="30" w:type="dxa"/>
              <w:bottom w:w="30" w:type="dxa"/>
              <w:left w:w="40" w:type="dxa"/>
              <w:right w:w="40" w:type="dxa"/>
            </w:tcMar>
          </w:tcPr>
          <w:p>
            <w:pPr>
              <w:jc w:val="center"/>
            </w:pPr>
            <w:r>
              <w:t>0.0205</w:t>
            </w:r>
          </w:p>
        </w:tc>
        <w:tc>
          <w:tcPr>
            <w:tcW w:type="dxa" w:w="1152"/>
            <w:tcMar>
              <w:top w:w="30" w:type="dxa"/>
              <w:bottom w:w="30" w:type="dxa"/>
              <w:left w:w="40" w:type="dxa"/>
              <w:right w:w="40" w:type="dxa"/>
            </w:tcMar>
          </w:tcPr>
          <w:p>
            <w:pPr>
              <w:jc w:val="center"/>
            </w:pPr>
            <w:r>
              <w:t>1.0000</w:t>
            </w:r>
          </w:p>
        </w:tc>
        <w:tc>
          <w:tcPr>
            <w:tcW w:type="dxa" w:w="1152"/>
            <w:tcMar>
              <w:top w:w="30" w:type="dxa"/>
              <w:bottom w:w="30" w:type="dxa"/>
              <w:left w:w="40" w:type="dxa"/>
              <w:right w:w="40" w:type="dxa"/>
            </w:tcMar>
          </w:tcPr>
          <w:p>
            <w:pPr>
              <w:jc w:val="center"/>
            </w:pPr>
            <w:r>
              <w:t>0.0402</w:t>
            </w:r>
          </w:p>
        </w:tc>
        <w:tc>
          <w:tcPr>
            <w:tcW w:type="dxa" w:w="2736"/>
            <w:tcMar>
              <w:top w:w="30" w:type="dxa"/>
              <w:bottom w:w="30" w:type="dxa"/>
              <w:left w:w="40" w:type="dxa"/>
              <w:right w:w="40" w:type="dxa"/>
            </w:tcMar>
          </w:tcPr>
          <w:p>
            <w:pPr>
              <w:jc w:val="left"/>
            </w:pPr>
            <w:r>
              <w:t>100% fraud catch; audits all 10,000 applicants</w:t>
            </w:r>
          </w:p>
        </w:tc>
      </w:tr>
      <w:tr>
        <w:tc>
          <w:tcPr>
            <w:tcW w:type="dxa" w:w="1584"/>
            <w:tcMar>
              <w:top w:w="30" w:type="dxa"/>
              <w:bottom w:w="30" w:type="dxa"/>
              <w:left w:w="40" w:type="dxa"/>
              <w:right w:w="40" w:type="dxa"/>
            </w:tcMar>
          </w:tcPr>
          <w:p>
            <w:pPr>
              <w:jc w:val="center"/>
            </w:pPr>
            <w:r>
              <w:t>0.50 (Default)</w:t>
            </w:r>
          </w:p>
        </w:tc>
        <w:tc>
          <w:tcPr>
            <w:tcW w:type="dxa" w:w="1152"/>
            <w:tcMar>
              <w:top w:w="30" w:type="dxa"/>
              <w:bottom w:w="30" w:type="dxa"/>
              <w:left w:w="40" w:type="dxa"/>
              <w:right w:w="40" w:type="dxa"/>
            </w:tcMar>
          </w:tcPr>
          <w:p>
            <w:pPr>
              <w:jc w:val="center"/>
            </w:pPr>
            <w:r>
              <w:t>0.5181</w:t>
            </w:r>
          </w:p>
        </w:tc>
        <w:tc>
          <w:tcPr>
            <w:tcW w:type="dxa" w:w="1152"/>
            <w:tcMar>
              <w:top w:w="30" w:type="dxa"/>
              <w:bottom w:w="30" w:type="dxa"/>
              <w:left w:w="40" w:type="dxa"/>
              <w:right w:w="40" w:type="dxa"/>
            </w:tcMar>
          </w:tcPr>
          <w:p>
            <w:pPr>
              <w:jc w:val="center"/>
            </w:pPr>
            <w:r>
              <w:t>0.0196</w:t>
            </w:r>
          </w:p>
        </w:tc>
        <w:tc>
          <w:tcPr>
            <w:tcW w:type="dxa" w:w="1152"/>
            <w:tcMar>
              <w:top w:w="30" w:type="dxa"/>
              <w:bottom w:w="30" w:type="dxa"/>
              <w:left w:w="40" w:type="dxa"/>
              <w:right w:w="40" w:type="dxa"/>
            </w:tcMar>
          </w:tcPr>
          <w:p>
            <w:pPr>
              <w:jc w:val="center"/>
            </w:pPr>
            <w:r>
              <w:t>0.4585</w:t>
            </w:r>
          </w:p>
        </w:tc>
        <w:tc>
          <w:tcPr>
            <w:tcW w:type="dxa" w:w="1152"/>
            <w:tcMar>
              <w:top w:w="30" w:type="dxa"/>
              <w:bottom w:w="30" w:type="dxa"/>
              <w:left w:w="40" w:type="dxa"/>
              <w:right w:w="40" w:type="dxa"/>
            </w:tcMar>
          </w:tcPr>
          <w:p>
            <w:pPr>
              <w:jc w:val="center"/>
            </w:pPr>
            <w:r>
              <w:t>0.0375</w:t>
            </w:r>
          </w:p>
        </w:tc>
        <w:tc>
          <w:tcPr>
            <w:tcW w:type="dxa" w:w="2736"/>
            <w:tcMar>
              <w:top w:w="30" w:type="dxa"/>
              <w:bottom w:w="30" w:type="dxa"/>
              <w:left w:w="40" w:type="dxa"/>
              <w:right w:w="40" w:type="dxa"/>
            </w:tcMar>
          </w:tcPr>
          <w:p>
            <w:pPr>
              <w:jc w:val="left"/>
            </w:pPr>
            <w:r>
              <w:t>Balanced cutoff; intercepts 45.9% fraud, audits 48%</w:t>
            </w:r>
          </w:p>
        </w:tc>
      </w:tr>
      <w:tr>
        <w:tc>
          <w:tcPr>
            <w:tcW w:type="dxa" w:w="1584"/>
            <w:tcMar>
              <w:top w:w="30" w:type="dxa"/>
              <w:bottom w:w="30" w:type="dxa"/>
              <w:left w:w="40" w:type="dxa"/>
              <w:right w:w="40" w:type="dxa"/>
            </w:tcMar>
          </w:tcPr>
          <w:p>
            <w:pPr>
              <w:jc w:val="center"/>
            </w:pPr>
            <w:r>
              <w:t>0.60 – 0.90</w:t>
            </w:r>
          </w:p>
        </w:tc>
        <w:tc>
          <w:tcPr>
            <w:tcW w:type="dxa" w:w="1152"/>
            <w:tcMar>
              <w:top w:w="30" w:type="dxa"/>
              <w:bottom w:w="30" w:type="dxa"/>
              <w:left w:w="40" w:type="dxa"/>
              <w:right w:w="40" w:type="dxa"/>
            </w:tcMar>
          </w:tcPr>
          <w:p>
            <w:pPr>
              <w:jc w:val="center"/>
            </w:pPr>
            <w:r>
              <w:t>0.9795</w:t>
            </w:r>
          </w:p>
        </w:tc>
        <w:tc>
          <w:tcPr>
            <w:tcW w:type="dxa" w:w="1152"/>
            <w:tcMar>
              <w:top w:w="30" w:type="dxa"/>
              <w:bottom w:w="30" w:type="dxa"/>
              <w:left w:w="40" w:type="dxa"/>
              <w:right w:w="40" w:type="dxa"/>
            </w:tcMar>
          </w:tcPr>
          <w:p>
            <w:pPr>
              <w:jc w:val="center"/>
            </w:pPr>
            <w:r>
              <w:t>0.0000</w:t>
            </w:r>
          </w:p>
        </w:tc>
        <w:tc>
          <w:tcPr>
            <w:tcW w:type="dxa" w:w="1152"/>
            <w:tcMar>
              <w:top w:w="30" w:type="dxa"/>
              <w:bottom w:w="30" w:type="dxa"/>
              <w:left w:w="40" w:type="dxa"/>
              <w:right w:w="40" w:type="dxa"/>
            </w:tcMar>
          </w:tcPr>
          <w:p>
            <w:pPr>
              <w:jc w:val="center"/>
            </w:pPr>
            <w:r>
              <w:t>0.0000</w:t>
            </w:r>
          </w:p>
        </w:tc>
        <w:tc>
          <w:tcPr>
            <w:tcW w:type="dxa" w:w="1152"/>
            <w:tcMar>
              <w:top w:w="30" w:type="dxa"/>
              <w:bottom w:w="30" w:type="dxa"/>
              <w:left w:w="40" w:type="dxa"/>
              <w:right w:w="40" w:type="dxa"/>
            </w:tcMar>
          </w:tcPr>
          <w:p>
            <w:pPr>
              <w:jc w:val="center"/>
            </w:pPr>
            <w:r>
              <w:t>0.0000</w:t>
            </w:r>
          </w:p>
        </w:tc>
        <w:tc>
          <w:tcPr>
            <w:tcW w:type="dxa" w:w="2736"/>
            <w:tcMar>
              <w:top w:w="30" w:type="dxa"/>
              <w:bottom w:w="30" w:type="dxa"/>
              <w:left w:w="40" w:type="dxa"/>
              <w:right w:w="40" w:type="dxa"/>
            </w:tcMar>
          </w:tcPr>
          <w:p>
            <w:pPr>
              <w:jc w:val="left"/>
            </w:pPr>
            <w:r>
              <w:t>Zero fraud caught; 0% audit friction (unacceptable)</w:t>
            </w:r>
          </w:p>
        </w:tc>
      </w:tr>
    </w:tbl>
    <w:p>
      <w:r>
        <w:br w:type="page"/>
      </w:r>
    </w:p>
    <w:p>
      <w:pPr>
        <w:spacing w:before="80" w:after="40"/>
        <w:jc w:val="center"/>
      </w:pPr>
      <w:r>
        <w:drawing>
          <wp:inline xmlns:a="http://schemas.openxmlformats.org/drawingml/2006/main" xmlns:pic="http://schemas.openxmlformats.org/drawingml/2006/picture">
            <wp:extent cx="5029200" cy="3076687"/>
            <wp:docPr id="12" name="Picture 12"/>
            <wp:cNvGraphicFramePr>
              <a:graphicFrameLocks noChangeAspect="1"/>
            </wp:cNvGraphicFramePr>
            <a:graphic>
              <a:graphicData uri="http://schemas.openxmlformats.org/drawingml/2006/picture">
                <pic:pic>
                  <pic:nvPicPr>
                    <pic:cNvPr id="0" name="fig_6_1_train_model_output.png"/>
                    <pic:cNvPicPr/>
                  </pic:nvPicPr>
                  <pic:blipFill>
                    <a:blip r:embed="rId20"/>
                    <a:stretch>
                      <a:fillRect/>
                    </a:stretch>
                  </pic:blipFill>
                  <pic:spPr>
                    <a:xfrm>
                      <a:off x="0" y="0"/>
                      <a:ext cx="5029200" cy="3076687"/>
                    </a:xfrm>
                    <a:prstGeom prst="rect"/>
                  </pic:spPr>
                </pic:pic>
              </a:graphicData>
            </a:graphic>
          </wp:inline>
        </w:drawing>
      </w:r>
    </w:p>
    <w:p>
      <w:pPr>
        <w:spacing w:before="80" w:after="160" w:line="276" w:lineRule="auto"/>
        <w:jc w:val="center"/>
      </w:pPr>
      <w:r>
        <w:rPr>
          <w:rFonts w:ascii="Times New Roman" w:hAnsi="Times New Roman"/>
          <w:b w:val="0"/>
          <w:i w:val="0"/>
          <w:sz w:val="22"/>
        </w:rPr>
        <w:t>Fig. 6.1 Output of train_model.py showing balanced training and evaluation</w:t>
      </w:r>
    </w:p>
    <w:p>
      <w:pPr>
        <w:spacing w:before="200" w:after="80" w:line="276" w:lineRule="auto"/>
        <w:jc w:val="left"/>
      </w:pPr>
      <w:r>
        <w:rPr>
          <w:rFonts w:ascii="Times New Roman" w:hAnsi="Times New Roman"/>
          <w:b/>
          <w:i w:val="0"/>
          <w:sz w:val="28"/>
        </w:rPr>
        <w:t>6.5 Model Interpretability and Feature Importance</w:t>
      </w:r>
    </w:p>
    <w:p>
      <w:pPr>
        <w:spacing w:before="0" w:after="120" w:line="276" w:lineRule="auto"/>
        <w:jc w:val="both"/>
      </w:pPr>
      <w:r>
        <w:rPr>
          <w:rFonts w:ascii="Times New Roman" w:hAnsi="Times New Roman"/>
          <w:b w:val="0"/>
          <w:i w:val="0"/>
          <w:sz w:val="24"/>
        </w:rPr>
        <w:t>Unlike black-box neural networks, Logistic Regression provides direct interpretability through feature coefficients. A positive coefficient increases log-odds of fraud, while a negative coefficient reduces risk. Figure 6.2 displays the feature coefficients.</w:t>
      </w:r>
    </w:p>
    <w:p>
      <w:pPr>
        <w:spacing w:before="80" w:after="40"/>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fig_6_2_feature_importance.png"/>
                    <pic:cNvPicPr/>
                  </pic:nvPicPr>
                  <pic:blipFill>
                    <a:blip r:embed="rId21"/>
                    <a:stretch>
                      <a:fillRect/>
                    </a:stretch>
                  </pic:blipFill>
                  <pic:spPr>
                    <a:xfrm>
                      <a:off x="0" y="0"/>
                      <a:ext cx="5029200" cy="2828925"/>
                    </a:xfrm>
                    <a:prstGeom prst="rect"/>
                  </pic:spPr>
                </pic:pic>
              </a:graphicData>
            </a:graphic>
          </wp:inline>
        </w:drawing>
      </w:r>
    </w:p>
    <w:p>
      <w:pPr>
        <w:spacing w:before="80" w:after="160" w:line="276" w:lineRule="auto"/>
        <w:jc w:val="center"/>
      </w:pPr>
      <w:r>
        <w:rPr>
          <w:rFonts w:ascii="Times New Roman" w:hAnsi="Times New Roman"/>
          <w:b w:val="0"/>
          <w:i w:val="0"/>
          <w:sz w:val="22"/>
        </w:rPr>
        <w:t>Fig. 6.2 Logistic Regression feature coefficients (odds ratio / risk drivers)</w:t>
      </w:r>
    </w:p>
    <w:p>
      <w:r>
        <w:br w:type="page"/>
      </w:r>
    </w:p>
    <w:p>
      <w:pPr>
        <w:spacing w:before="80" w:after="40"/>
        <w:jc w:val="center"/>
      </w:pPr>
      <w:r>
        <w:drawing>
          <wp:inline xmlns:a="http://schemas.openxmlformats.org/drawingml/2006/main" xmlns:pic="http://schemas.openxmlformats.org/drawingml/2006/picture">
            <wp:extent cx="4754880" cy="2971800"/>
            <wp:docPr id="14" name="Picture 14"/>
            <wp:cNvGraphicFramePr>
              <a:graphicFrameLocks noChangeAspect="1"/>
            </wp:cNvGraphicFramePr>
            <a:graphic>
              <a:graphicData uri="http://schemas.openxmlformats.org/drawingml/2006/picture">
                <pic:pic>
                  <pic:nvPicPr>
                    <pic:cNvPr id="0" name="fig_6_3_prediction_distribution.png"/>
                    <pic:cNvPicPr/>
                  </pic:nvPicPr>
                  <pic:blipFill>
                    <a:blip r:embed="rId22"/>
                    <a:stretch>
                      <a:fillRect/>
                    </a:stretch>
                  </pic:blipFill>
                  <pic:spPr>
                    <a:xfrm>
                      <a:off x="0" y="0"/>
                      <a:ext cx="4754880" cy="2971800"/>
                    </a:xfrm>
                    <a:prstGeom prst="rect"/>
                  </pic:spPr>
                </pic:pic>
              </a:graphicData>
            </a:graphic>
          </wp:inline>
        </w:drawing>
      </w:r>
    </w:p>
    <w:p>
      <w:pPr>
        <w:spacing w:before="80" w:after="160" w:line="276" w:lineRule="auto"/>
        <w:jc w:val="center"/>
      </w:pPr>
      <w:r>
        <w:rPr>
          <w:rFonts w:ascii="Times New Roman" w:hAnsi="Times New Roman"/>
          <w:b w:val="0"/>
          <w:i w:val="0"/>
          <w:sz w:val="22"/>
        </w:rPr>
        <w:t>Fig. 6.3 Prediction probability distribution (Legitimate vs Fraud)</w:t>
      </w:r>
    </w:p>
    <w:p>
      <w:pPr>
        <w:spacing w:before="80" w:after="40"/>
        <w:jc w:val="center"/>
      </w:pPr>
      <w:r>
        <w:drawing>
          <wp:inline xmlns:a="http://schemas.openxmlformats.org/drawingml/2006/main" xmlns:pic="http://schemas.openxmlformats.org/drawingml/2006/picture">
            <wp:extent cx="4754880" cy="3735977"/>
            <wp:docPr id="15" name="Picture 15"/>
            <wp:cNvGraphicFramePr>
              <a:graphicFrameLocks noChangeAspect="1"/>
            </wp:cNvGraphicFramePr>
            <a:graphic>
              <a:graphicData uri="http://schemas.openxmlformats.org/drawingml/2006/picture">
                <pic:pic>
                  <pic:nvPicPr>
                    <pic:cNvPr id="0" name="fig_6_4_calibration_curve.png"/>
                    <pic:cNvPicPr/>
                  </pic:nvPicPr>
                  <pic:blipFill>
                    <a:blip r:embed="rId23"/>
                    <a:stretch>
                      <a:fillRect/>
                    </a:stretch>
                  </pic:blipFill>
                  <pic:spPr>
                    <a:xfrm>
                      <a:off x="0" y="0"/>
                      <a:ext cx="4754880" cy="3735977"/>
                    </a:xfrm>
                    <a:prstGeom prst="rect"/>
                  </pic:spPr>
                </pic:pic>
              </a:graphicData>
            </a:graphic>
          </wp:inline>
        </w:drawing>
      </w:r>
    </w:p>
    <w:p>
      <w:pPr>
        <w:spacing w:before="80" w:after="160" w:line="276" w:lineRule="auto"/>
        <w:jc w:val="center"/>
      </w:pPr>
      <w:r>
        <w:rPr>
          <w:rFonts w:ascii="Times New Roman" w:hAnsi="Times New Roman"/>
          <w:b w:val="0"/>
          <w:i w:val="0"/>
          <w:sz w:val="22"/>
        </w:rPr>
        <w:t>Fig. 6.4 Model calibration curve (reliability diagram)</w:t>
      </w:r>
    </w:p>
    <w:p>
      <w:pPr>
        <w:spacing w:before="200" w:after="80" w:line="276" w:lineRule="auto"/>
        <w:jc w:val="left"/>
      </w:pPr>
      <w:r>
        <w:rPr>
          <w:rFonts w:ascii="Times New Roman" w:hAnsi="Times New Roman"/>
          <w:b/>
          <w:i w:val="0"/>
          <w:sz w:val="28"/>
        </w:rPr>
        <w:t>6.6 Model Evaluation Metrics Mathematical Definitions</w:t>
      </w:r>
    </w:p>
    <w:p>
      <w:pPr>
        <w:spacing w:before="0" w:after="120" w:line="276" w:lineRule="auto"/>
        <w:jc w:val="both"/>
      </w:pPr>
      <w:r>
        <w:rPr>
          <w:rFonts w:ascii="Times New Roman" w:hAnsi="Times New Roman"/>
          <w:b w:val="0"/>
          <w:i w:val="0"/>
          <w:sz w:val="24"/>
        </w:rPr>
        <w:t>• Accuracy: (TP + TN) / (TP + TN + FP + FN)</w:t>
        <w:br/>
        <w:t>• Balanced Accuracy: 0.5 * [ TP / (TP + FN) + TN / (TN + FP) ]</w:t>
        <w:br/>
        <w:t>• Precision: TP / (TP + FP) | Recall / Sensitivity: TP / (TP + FN)</w:t>
        <w:br/>
        <w:t>• Specificity: TN / (TN + FP) | F1-Score: 2 * (Precision * Recall) / (Precision + Recall)</w:t>
        <w:br/>
        <w:t>• Matthews Correlation (MCC): (TP*TN - FP*FN) / sqrt((TP+FP)(TP+FN)(TN+FP)(TN+FN))</w:t>
        <w:br/>
        <w:t>• Brier Score Loss: (1/N) Sum (p_i - y_i)^2 | Log Loss: - (1/N) Sum [ y_i*log(p_i) + (1-y_i)*log(1-p_i) ]</w:t>
      </w:r>
    </w:p>
    <w:p>
      <w:r>
        <w:br w:type="page"/>
      </w:r>
    </w:p>
    <w:p>
      <w:pPr>
        <w:spacing w:before="200" w:after="40" w:line="276" w:lineRule="auto"/>
        <w:jc w:val="center"/>
      </w:pPr>
      <w:r>
        <w:rPr>
          <w:rFonts w:ascii="Times New Roman" w:hAnsi="Times New Roman"/>
          <w:b/>
          <w:i w:val="0"/>
          <w:sz w:val="28"/>
        </w:rPr>
        <w:t>CHAPTER 7</w:t>
      </w:r>
    </w:p>
    <w:p>
      <w:pPr>
        <w:spacing w:before="0" w:after="280" w:line="276" w:lineRule="auto"/>
        <w:jc w:val="center"/>
      </w:pPr>
      <w:r>
        <w:rPr>
          <w:rFonts w:ascii="Times New Roman" w:hAnsi="Times New Roman"/>
          <w:b/>
          <w:i w:val="0"/>
          <w:sz w:val="28"/>
        </w:rPr>
        <w:t>RESULTS AND ANALYSIS</w:t>
      </w:r>
    </w:p>
    <w:p>
      <w:pPr>
        <w:spacing w:before="200" w:after="80" w:line="276" w:lineRule="auto"/>
        <w:jc w:val="left"/>
      </w:pPr>
      <w:r>
        <w:rPr>
          <w:rFonts w:ascii="Times New Roman" w:hAnsi="Times New Roman"/>
          <w:b/>
          <w:i w:val="0"/>
          <w:sz w:val="28"/>
        </w:rPr>
        <w:t>7.1 Introduction</w:t>
      </w:r>
    </w:p>
    <w:p>
      <w:pPr>
        <w:spacing w:before="160" w:after="60" w:line="276" w:lineRule="auto"/>
        <w:jc w:val="left"/>
      </w:pPr>
      <w:r>
        <w:rPr>
          <w:rFonts w:ascii="Times New Roman" w:hAnsi="Times New Roman"/>
          <w:b/>
          <w:i w:val="0"/>
          <w:sz w:val="24"/>
        </w:rPr>
        <w:t>7.2 Experimental Setup</w:t>
      </w:r>
    </w:p>
    <w:p>
      <w:pPr>
        <w:spacing w:before="0" w:after="120" w:line="276" w:lineRule="auto"/>
        <w:jc w:val="both"/>
      </w:pPr>
      <w:r>
        <w:rPr>
          <w:rFonts w:ascii="Times New Roman" w:hAnsi="Times New Roman"/>
          <w:b w:val="0"/>
          <w:i w:val="0"/>
          <w:sz w:val="24"/>
        </w:rPr>
        <w:t>All experiments were conducted on the 10,000-sample unseen holdout test set (9,795 legitimate, 205 fraudulent applications) derived from the Kaggle benchmark. Evaluation employed the balanced Logistic Regression model.</w:t>
      </w:r>
    </w:p>
    <w:p>
      <w:pPr>
        <w:spacing w:before="200" w:after="80" w:line="276" w:lineRule="auto"/>
        <w:jc w:val="left"/>
      </w:pPr>
      <w:r>
        <w:rPr>
          <w:rFonts w:ascii="Times New Roman" w:hAnsi="Times New Roman"/>
          <w:b/>
          <w:i w:val="0"/>
          <w:sz w:val="28"/>
        </w:rPr>
        <w:t>7.3 Headline Classification Results &amp; Metrics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3010"/>
        <w:gridCol w:w="3010"/>
        <w:gridCol w:w="3010"/>
      </w:tblGrid>
      <w:tr>
        <w:tc>
          <w:tcPr>
            <w:tcW w:type="dxa" w:w="2304"/>
            <w:shd w:fill="F5F5F5"/>
            <w:tcMar>
              <w:top w:w="25" w:type="dxa"/>
              <w:bottom w:w="25" w:type="dxa"/>
              <w:left w:w="35" w:type="dxa"/>
              <w:right w:w="35" w:type="dxa"/>
            </w:tcMar>
          </w:tcPr>
          <w:p>
            <w:pPr>
              <w:jc w:val="left"/>
            </w:pPr>
            <w:r>
              <w:rPr>
                <w:b/>
              </w:rPr>
              <w:t>Performance Metric</w:t>
            </w:r>
          </w:p>
        </w:tc>
        <w:tc>
          <w:tcPr>
            <w:tcW w:type="dxa" w:w="1728"/>
            <w:shd w:fill="F5F5F5"/>
            <w:tcMar>
              <w:top w:w="25" w:type="dxa"/>
              <w:bottom w:w="25" w:type="dxa"/>
              <w:left w:w="35" w:type="dxa"/>
              <w:right w:w="35" w:type="dxa"/>
            </w:tcMar>
          </w:tcPr>
          <w:p>
            <w:pPr>
              <w:jc w:val="center"/>
            </w:pPr>
            <w:r>
              <w:rPr>
                <w:b/>
              </w:rPr>
              <w:t>Score</w:t>
            </w:r>
          </w:p>
        </w:tc>
        <w:tc>
          <w:tcPr>
            <w:tcW w:type="dxa" w:w="4896"/>
            <w:shd w:fill="F5F5F5"/>
            <w:tcMar>
              <w:top w:w="25" w:type="dxa"/>
              <w:bottom w:w="25" w:type="dxa"/>
              <w:left w:w="35" w:type="dxa"/>
              <w:right w:w="35" w:type="dxa"/>
            </w:tcMar>
          </w:tcPr>
          <w:p>
            <w:pPr>
              <w:jc w:val="left"/>
            </w:pPr>
            <w:r>
              <w:rPr>
                <w:b/>
              </w:rPr>
              <w:t>Industry Interpretation</w:t>
            </w:r>
          </w:p>
        </w:tc>
      </w:tr>
      <w:tr>
        <w:tc>
          <w:tcPr>
            <w:tcW w:type="dxa" w:w="2304"/>
            <w:tcMar>
              <w:top w:w="25" w:type="dxa"/>
              <w:bottom w:w="25" w:type="dxa"/>
              <w:left w:w="35" w:type="dxa"/>
              <w:right w:w="35" w:type="dxa"/>
            </w:tcMar>
          </w:tcPr>
          <w:p>
            <w:pPr>
              <w:jc w:val="left"/>
            </w:pPr>
            <w:r>
              <w:t>Accuracy</w:t>
            </w:r>
          </w:p>
        </w:tc>
        <w:tc>
          <w:tcPr>
            <w:tcW w:type="dxa" w:w="1728"/>
            <w:tcMar>
              <w:top w:w="25" w:type="dxa"/>
              <w:bottom w:w="25" w:type="dxa"/>
              <w:left w:w="35" w:type="dxa"/>
              <w:right w:w="35" w:type="dxa"/>
            </w:tcMar>
          </w:tcPr>
          <w:p>
            <w:pPr>
              <w:jc w:val="center"/>
            </w:pPr>
            <w:r>
              <w:t>0.5181 (51.8%)</w:t>
            </w:r>
          </w:p>
        </w:tc>
        <w:tc>
          <w:tcPr>
            <w:tcW w:type="dxa" w:w="4896"/>
            <w:tcMar>
              <w:top w:w="25" w:type="dxa"/>
              <w:bottom w:w="25" w:type="dxa"/>
              <w:left w:w="35" w:type="dxa"/>
              <w:right w:w="35" w:type="dxa"/>
            </w:tcMar>
          </w:tcPr>
          <w:p>
            <w:pPr>
              <w:jc w:val="left"/>
            </w:pPr>
            <w:r>
              <w:t>Raw correct test decisions across both classes</w:t>
            </w:r>
          </w:p>
        </w:tc>
      </w:tr>
      <w:tr>
        <w:tc>
          <w:tcPr>
            <w:tcW w:type="dxa" w:w="2304"/>
            <w:tcMar>
              <w:top w:w="25" w:type="dxa"/>
              <w:bottom w:w="25" w:type="dxa"/>
              <w:left w:w="35" w:type="dxa"/>
              <w:right w:w="35" w:type="dxa"/>
            </w:tcMar>
          </w:tcPr>
          <w:p>
            <w:pPr>
              <w:jc w:val="left"/>
            </w:pPr>
            <w:r>
              <w:t>Balanced Accuracy</w:t>
            </w:r>
          </w:p>
        </w:tc>
        <w:tc>
          <w:tcPr>
            <w:tcW w:type="dxa" w:w="1728"/>
            <w:tcMar>
              <w:top w:w="25" w:type="dxa"/>
              <w:bottom w:w="25" w:type="dxa"/>
              <w:left w:w="35" w:type="dxa"/>
              <w:right w:w="35" w:type="dxa"/>
            </w:tcMar>
          </w:tcPr>
          <w:p>
            <w:pPr>
              <w:jc w:val="center"/>
            </w:pPr>
            <w:r>
              <w:t>0.4889 (48.9%)</w:t>
            </w:r>
          </w:p>
        </w:tc>
        <w:tc>
          <w:tcPr>
            <w:tcW w:type="dxa" w:w="4896"/>
            <w:tcMar>
              <w:top w:w="25" w:type="dxa"/>
              <w:bottom w:w="25" w:type="dxa"/>
              <w:left w:w="35" w:type="dxa"/>
              <w:right w:w="35" w:type="dxa"/>
            </w:tcMar>
          </w:tcPr>
          <w:p>
            <w:pPr>
              <w:jc w:val="left"/>
            </w:pPr>
            <w:r>
              <w:t>Arithmetic mean of Sensitivity and Specificity; immune to class imbalance</w:t>
            </w:r>
          </w:p>
        </w:tc>
      </w:tr>
      <w:tr>
        <w:tc>
          <w:tcPr>
            <w:tcW w:type="dxa" w:w="2304"/>
            <w:tcMar>
              <w:top w:w="25" w:type="dxa"/>
              <w:bottom w:w="25" w:type="dxa"/>
              <w:left w:w="35" w:type="dxa"/>
              <w:right w:w="35" w:type="dxa"/>
            </w:tcMar>
          </w:tcPr>
          <w:p>
            <w:pPr>
              <w:jc w:val="left"/>
            </w:pPr>
            <w:r>
              <w:t>Precision (Fraud)</w:t>
            </w:r>
          </w:p>
        </w:tc>
        <w:tc>
          <w:tcPr>
            <w:tcW w:type="dxa" w:w="1728"/>
            <w:tcMar>
              <w:top w:w="25" w:type="dxa"/>
              <w:bottom w:w="25" w:type="dxa"/>
              <w:left w:w="35" w:type="dxa"/>
              <w:right w:w="35" w:type="dxa"/>
            </w:tcMar>
          </w:tcPr>
          <w:p>
            <w:pPr>
              <w:jc w:val="center"/>
            </w:pPr>
            <w:r>
              <w:t>0.0196 (2.0%)</w:t>
            </w:r>
          </w:p>
        </w:tc>
        <w:tc>
          <w:tcPr>
            <w:tcW w:type="dxa" w:w="4896"/>
            <w:tcMar>
              <w:top w:w="25" w:type="dxa"/>
              <w:bottom w:w="25" w:type="dxa"/>
              <w:left w:w="35" w:type="dxa"/>
              <w:right w:w="35" w:type="dxa"/>
            </w:tcMar>
          </w:tcPr>
          <w:p>
            <w:pPr>
              <w:jc w:val="left"/>
            </w:pPr>
            <w:r>
              <w:t>Probability that an application flagged by the model is genuine fraud</w:t>
            </w:r>
          </w:p>
        </w:tc>
      </w:tr>
      <w:tr>
        <w:tc>
          <w:tcPr>
            <w:tcW w:type="dxa" w:w="2304"/>
            <w:tcMar>
              <w:top w:w="25" w:type="dxa"/>
              <w:bottom w:w="25" w:type="dxa"/>
              <w:left w:w="35" w:type="dxa"/>
              <w:right w:w="35" w:type="dxa"/>
            </w:tcMar>
          </w:tcPr>
          <w:p>
            <w:pPr>
              <w:jc w:val="left"/>
            </w:pPr>
            <w:r>
              <w:t>Recall (Sensitivity)</w:t>
            </w:r>
          </w:p>
        </w:tc>
        <w:tc>
          <w:tcPr>
            <w:tcW w:type="dxa" w:w="1728"/>
            <w:tcMar>
              <w:top w:w="25" w:type="dxa"/>
              <w:bottom w:w="25" w:type="dxa"/>
              <w:left w:w="35" w:type="dxa"/>
              <w:right w:w="35" w:type="dxa"/>
            </w:tcMar>
          </w:tcPr>
          <w:p>
            <w:pPr>
              <w:jc w:val="center"/>
            </w:pPr>
            <w:r>
              <w:t>0.4585 (45.9%)</w:t>
            </w:r>
          </w:p>
        </w:tc>
        <w:tc>
          <w:tcPr>
            <w:tcW w:type="dxa" w:w="4896"/>
            <w:tcMar>
              <w:top w:w="25" w:type="dxa"/>
              <w:bottom w:w="25" w:type="dxa"/>
              <w:left w:w="35" w:type="dxa"/>
              <w:right w:w="35" w:type="dxa"/>
            </w:tcMar>
          </w:tcPr>
          <w:p>
            <w:pPr>
              <w:jc w:val="left"/>
            </w:pPr>
            <w:r>
              <w:t>Percentage of all actual fraudsters successfully intercepted by model</w:t>
            </w:r>
          </w:p>
        </w:tc>
      </w:tr>
      <w:tr>
        <w:tc>
          <w:tcPr>
            <w:tcW w:type="dxa" w:w="2304"/>
            <w:tcMar>
              <w:top w:w="25" w:type="dxa"/>
              <w:bottom w:w="25" w:type="dxa"/>
              <w:left w:w="35" w:type="dxa"/>
              <w:right w:w="35" w:type="dxa"/>
            </w:tcMar>
          </w:tcPr>
          <w:p>
            <w:pPr>
              <w:jc w:val="left"/>
            </w:pPr>
            <w:r>
              <w:t>Specificity</w:t>
            </w:r>
          </w:p>
        </w:tc>
        <w:tc>
          <w:tcPr>
            <w:tcW w:type="dxa" w:w="1728"/>
            <w:tcMar>
              <w:top w:w="25" w:type="dxa"/>
              <w:bottom w:w="25" w:type="dxa"/>
              <w:left w:w="35" w:type="dxa"/>
              <w:right w:w="35" w:type="dxa"/>
            </w:tcMar>
          </w:tcPr>
          <w:p>
            <w:pPr>
              <w:jc w:val="center"/>
            </w:pPr>
            <w:r>
              <w:t>0.5193 (51.9%)</w:t>
            </w:r>
          </w:p>
        </w:tc>
        <w:tc>
          <w:tcPr>
            <w:tcW w:type="dxa" w:w="4896"/>
            <w:tcMar>
              <w:top w:w="25" w:type="dxa"/>
              <w:bottom w:w="25" w:type="dxa"/>
              <w:left w:w="35" w:type="dxa"/>
              <w:right w:w="35" w:type="dxa"/>
            </w:tcMar>
          </w:tcPr>
          <w:p>
            <w:pPr>
              <w:jc w:val="left"/>
            </w:pPr>
            <w:r>
              <w:t>Percentage of legitimate borrowers cleared without false accusations</w:t>
            </w:r>
          </w:p>
        </w:tc>
      </w:tr>
      <w:tr>
        <w:tc>
          <w:tcPr>
            <w:tcW w:type="dxa" w:w="2304"/>
            <w:tcMar>
              <w:top w:w="25" w:type="dxa"/>
              <w:bottom w:w="25" w:type="dxa"/>
              <w:left w:w="35" w:type="dxa"/>
              <w:right w:w="35" w:type="dxa"/>
            </w:tcMar>
          </w:tcPr>
          <w:p>
            <w:pPr>
              <w:jc w:val="left"/>
            </w:pPr>
            <w:r>
              <w:t>F1-Score (Fraud)</w:t>
            </w:r>
          </w:p>
        </w:tc>
        <w:tc>
          <w:tcPr>
            <w:tcW w:type="dxa" w:w="1728"/>
            <w:tcMar>
              <w:top w:w="25" w:type="dxa"/>
              <w:bottom w:w="25" w:type="dxa"/>
              <w:left w:w="35" w:type="dxa"/>
              <w:right w:w="35" w:type="dxa"/>
            </w:tcMar>
          </w:tcPr>
          <w:p>
            <w:pPr>
              <w:jc w:val="center"/>
            </w:pPr>
            <w:r>
              <w:t>0.0375</w:t>
            </w:r>
          </w:p>
        </w:tc>
        <w:tc>
          <w:tcPr>
            <w:tcW w:type="dxa" w:w="4896"/>
            <w:tcMar>
              <w:top w:w="25" w:type="dxa"/>
              <w:bottom w:w="25" w:type="dxa"/>
              <w:left w:w="35" w:type="dxa"/>
              <w:right w:w="35" w:type="dxa"/>
            </w:tcMar>
          </w:tcPr>
          <w:p>
            <w:pPr>
              <w:jc w:val="left"/>
            </w:pPr>
            <w:r>
              <w:t>Harmonic mean balancing fraud Precision and Recall</w:t>
            </w:r>
          </w:p>
        </w:tc>
      </w:tr>
      <w:tr>
        <w:tc>
          <w:tcPr>
            <w:tcW w:type="dxa" w:w="2304"/>
            <w:tcMar>
              <w:top w:w="25" w:type="dxa"/>
              <w:bottom w:w="25" w:type="dxa"/>
              <w:left w:w="35" w:type="dxa"/>
              <w:right w:w="35" w:type="dxa"/>
            </w:tcMar>
          </w:tcPr>
          <w:p>
            <w:pPr>
              <w:jc w:val="left"/>
            </w:pPr>
            <w:r>
              <w:t>ROC-AUC Score</w:t>
            </w:r>
          </w:p>
        </w:tc>
        <w:tc>
          <w:tcPr>
            <w:tcW w:type="dxa" w:w="1728"/>
            <w:tcMar>
              <w:top w:w="25" w:type="dxa"/>
              <w:bottom w:w="25" w:type="dxa"/>
              <w:left w:w="35" w:type="dxa"/>
              <w:right w:w="35" w:type="dxa"/>
            </w:tcMar>
          </w:tcPr>
          <w:p>
            <w:pPr>
              <w:jc w:val="center"/>
            </w:pPr>
            <w:r>
              <w:t>0.4814</w:t>
            </w:r>
          </w:p>
        </w:tc>
        <w:tc>
          <w:tcPr>
            <w:tcW w:type="dxa" w:w="4896"/>
            <w:tcMar>
              <w:top w:w="25" w:type="dxa"/>
              <w:bottom w:w="25" w:type="dxa"/>
              <w:left w:w="35" w:type="dxa"/>
              <w:right w:w="35" w:type="dxa"/>
            </w:tcMar>
          </w:tcPr>
          <w:p>
            <w:pPr>
              <w:jc w:val="left"/>
            </w:pPr>
            <w:r>
              <w:t>Area under Receiver Operating Characteristic curve</w:t>
            </w:r>
          </w:p>
        </w:tc>
      </w:tr>
      <w:tr>
        <w:tc>
          <w:tcPr>
            <w:tcW w:type="dxa" w:w="2304"/>
            <w:tcMar>
              <w:top w:w="25" w:type="dxa"/>
              <w:bottom w:w="25" w:type="dxa"/>
              <w:left w:w="35" w:type="dxa"/>
              <w:right w:w="35" w:type="dxa"/>
            </w:tcMar>
          </w:tcPr>
          <w:p>
            <w:pPr>
              <w:jc w:val="left"/>
            </w:pPr>
            <w:r>
              <w:t>PR-AUC Score</w:t>
            </w:r>
          </w:p>
        </w:tc>
        <w:tc>
          <w:tcPr>
            <w:tcW w:type="dxa" w:w="1728"/>
            <w:tcMar>
              <w:top w:w="25" w:type="dxa"/>
              <w:bottom w:w="25" w:type="dxa"/>
              <w:left w:w="35" w:type="dxa"/>
              <w:right w:w="35" w:type="dxa"/>
            </w:tcMar>
          </w:tcPr>
          <w:p>
            <w:pPr>
              <w:jc w:val="center"/>
            </w:pPr>
            <w:r>
              <w:t>0.0252</w:t>
            </w:r>
          </w:p>
        </w:tc>
        <w:tc>
          <w:tcPr>
            <w:tcW w:type="dxa" w:w="4896"/>
            <w:tcMar>
              <w:top w:w="25" w:type="dxa"/>
              <w:bottom w:w="25" w:type="dxa"/>
              <w:left w:w="35" w:type="dxa"/>
              <w:right w:w="35" w:type="dxa"/>
            </w:tcMar>
          </w:tcPr>
          <w:p>
            <w:pPr>
              <w:jc w:val="left"/>
            </w:pPr>
            <w:r>
              <w:t>Area under Precision-Recall curve (exceeds 2.05% baseline)</w:t>
            </w:r>
          </w:p>
        </w:tc>
      </w:tr>
      <w:tr>
        <w:tc>
          <w:tcPr>
            <w:tcW w:type="dxa" w:w="2304"/>
            <w:tcMar>
              <w:top w:w="25" w:type="dxa"/>
              <w:bottom w:w="25" w:type="dxa"/>
              <w:left w:w="35" w:type="dxa"/>
              <w:right w:w="35" w:type="dxa"/>
            </w:tcMar>
          </w:tcPr>
          <w:p>
            <w:pPr>
              <w:jc w:val="left"/>
            </w:pPr>
            <w:r>
              <w:t>Matthews Corr (MCC)</w:t>
            </w:r>
          </w:p>
        </w:tc>
        <w:tc>
          <w:tcPr>
            <w:tcW w:type="dxa" w:w="1728"/>
            <w:tcMar>
              <w:top w:w="25" w:type="dxa"/>
              <w:bottom w:w="25" w:type="dxa"/>
              <w:left w:w="35" w:type="dxa"/>
              <w:right w:w="35" w:type="dxa"/>
            </w:tcMar>
          </w:tcPr>
          <w:p>
            <w:pPr>
              <w:jc w:val="center"/>
            </w:pPr>
            <w:r>
              <w:t>-0.0063</w:t>
            </w:r>
          </w:p>
        </w:tc>
        <w:tc>
          <w:tcPr>
            <w:tcW w:type="dxa" w:w="4896"/>
            <w:tcMar>
              <w:top w:w="25" w:type="dxa"/>
              <w:bottom w:w="25" w:type="dxa"/>
              <w:left w:w="35" w:type="dxa"/>
              <w:right w:w="35" w:type="dxa"/>
            </w:tcMar>
          </w:tcPr>
          <w:p>
            <w:pPr>
              <w:jc w:val="left"/>
            </w:pPr>
            <w:r>
              <w:t>Binary classification correlation considering all confusion quadrants</w:t>
            </w:r>
          </w:p>
        </w:tc>
      </w:tr>
      <w:tr>
        <w:tc>
          <w:tcPr>
            <w:tcW w:type="dxa" w:w="2304"/>
            <w:tcMar>
              <w:top w:w="25" w:type="dxa"/>
              <w:bottom w:w="25" w:type="dxa"/>
              <w:left w:w="35" w:type="dxa"/>
              <w:right w:w="35" w:type="dxa"/>
            </w:tcMar>
          </w:tcPr>
          <w:p>
            <w:pPr>
              <w:jc w:val="left"/>
            </w:pPr>
            <w:r>
              <w:t>Log Loss</w:t>
            </w:r>
          </w:p>
        </w:tc>
        <w:tc>
          <w:tcPr>
            <w:tcW w:type="dxa" w:w="1728"/>
            <w:tcMar>
              <w:top w:w="25" w:type="dxa"/>
              <w:bottom w:w="25" w:type="dxa"/>
              <w:left w:w="35" w:type="dxa"/>
              <w:right w:w="35" w:type="dxa"/>
            </w:tcMar>
          </w:tcPr>
          <w:p>
            <w:pPr>
              <w:jc w:val="center"/>
            </w:pPr>
            <w:r>
              <w:t>0.6931</w:t>
            </w:r>
          </w:p>
        </w:tc>
        <w:tc>
          <w:tcPr>
            <w:tcW w:type="dxa" w:w="4896"/>
            <w:tcMar>
              <w:top w:w="25" w:type="dxa"/>
              <w:bottom w:w="25" w:type="dxa"/>
              <w:left w:w="35" w:type="dxa"/>
              <w:right w:w="35" w:type="dxa"/>
            </w:tcMar>
          </w:tcPr>
          <w:p>
            <w:pPr>
              <w:jc w:val="left"/>
            </w:pPr>
            <w:r>
              <w:t>Cross-entropy uncertainty of probabilistic predictions</w:t>
            </w:r>
          </w:p>
        </w:tc>
      </w:tr>
      <w:tr>
        <w:tc>
          <w:tcPr>
            <w:tcW w:type="dxa" w:w="2304"/>
            <w:tcMar>
              <w:top w:w="25" w:type="dxa"/>
              <w:bottom w:w="25" w:type="dxa"/>
              <w:left w:w="35" w:type="dxa"/>
              <w:right w:w="35" w:type="dxa"/>
            </w:tcMar>
          </w:tcPr>
          <w:p>
            <w:pPr>
              <w:jc w:val="left"/>
            </w:pPr>
            <w:r>
              <w:t>Brier Score</w:t>
            </w:r>
          </w:p>
        </w:tc>
        <w:tc>
          <w:tcPr>
            <w:tcW w:type="dxa" w:w="1728"/>
            <w:tcMar>
              <w:top w:w="25" w:type="dxa"/>
              <w:bottom w:w="25" w:type="dxa"/>
              <w:left w:w="35" w:type="dxa"/>
              <w:right w:w="35" w:type="dxa"/>
            </w:tcMar>
          </w:tcPr>
          <w:p>
            <w:pPr>
              <w:jc w:val="center"/>
            </w:pPr>
            <w:r>
              <w:t>0.2500</w:t>
            </w:r>
          </w:p>
        </w:tc>
        <w:tc>
          <w:tcPr>
            <w:tcW w:type="dxa" w:w="4896"/>
            <w:tcMar>
              <w:top w:w="25" w:type="dxa"/>
              <w:bottom w:w="25" w:type="dxa"/>
              <w:left w:w="35" w:type="dxa"/>
              <w:right w:w="35" w:type="dxa"/>
            </w:tcMar>
          </w:tcPr>
          <w:p>
            <w:pPr>
              <w:jc w:val="left"/>
            </w:pPr>
            <w:r>
              <w:t>Mean squared difference between predicted probabilities and labels</w:t>
            </w:r>
          </w:p>
        </w:tc>
      </w:tr>
    </w:tbl>
    <w:p>
      <w:r>
        <w:br w:type="page"/>
      </w:r>
    </w:p>
    <w:p>
      <w:pPr>
        <w:spacing w:before="80" w:after="40"/>
        <w:jc w:val="center"/>
      </w:pPr>
      <w:r>
        <w:drawing>
          <wp:inline xmlns:a="http://schemas.openxmlformats.org/drawingml/2006/main" xmlns:pic="http://schemas.openxmlformats.org/drawingml/2006/picture">
            <wp:extent cx="5029200" cy="1934308"/>
            <wp:docPr id="16" name="Picture 16"/>
            <wp:cNvGraphicFramePr>
              <a:graphicFrameLocks noChangeAspect="1"/>
            </wp:cNvGraphicFramePr>
            <a:graphic>
              <a:graphicData uri="http://schemas.openxmlformats.org/drawingml/2006/picture">
                <pic:pic>
                  <pic:nvPicPr>
                    <pic:cNvPr id="0" name="fig_7_1_confusion_matrix.png"/>
                    <pic:cNvPicPr/>
                  </pic:nvPicPr>
                  <pic:blipFill>
                    <a:blip r:embed="rId24"/>
                    <a:stretch>
                      <a:fillRect/>
                    </a:stretch>
                  </pic:blipFill>
                  <pic:spPr>
                    <a:xfrm>
                      <a:off x="0" y="0"/>
                      <a:ext cx="5029200" cy="1934308"/>
                    </a:xfrm>
                    <a:prstGeom prst="rect"/>
                  </pic:spPr>
                </pic:pic>
              </a:graphicData>
            </a:graphic>
          </wp:inline>
        </w:drawing>
      </w:r>
    </w:p>
    <w:p>
      <w:pPr>
        <w:spacing w:before="80" w:after="160" w:line="276" w:lineRule="auto"/>
        <w:jc w:val="center"/>
      </w:pPr>
      <w:r>
        <w:rPr>
          <w:rFonts w:ascii="Times New Roman" w:hAnsi="Times New Roman"/>
          <w:b w:val="0"/>
          <w:i w:val="0"/>
          <w:sz w:val="22"/>
        </w:rPr>
        <w:t>Fig. 7.1 Confusion matrix (raw counts and normalized percentages)</w:t>
      </w:r>
    </w:p>
    <w:p>
      <w:pPr>
        <w:spacing w:before="200" w:after="80" w:line="276" w:lineRule="auto"/>
        <w:jc w:val="left"/>
      </w:pPr>
      <w:r>
        <w:rPr>
          <w:rFonts w:ascii="Times New Roman" w:hAnsi="Times New Roman"/>
          <w:b/>
          <w:i w:val="0"/>
          <w:sz w:val="28"/>
        </w:rPr>
        <w:t>7.4 Detailed Confusion Matrix Breakdown</w:t>
      </w:r>
    </w:p>
    <w:p>
      <w:pPr>
        <w:spacing w:before="0" w:after="120" w:line="276" w:lineRule="auto"/>
        <w:jc w:val="both"/>
      </w:pPr>
      <w:r>
        <w:rPr>
          <w:rFonts w:ascii="Times New Roman" w:hAnsi="Times New Roman"/>
          <w:b w:val="0"/>
          <w:i w:val="0"/>
          <w:sz w:val="24"/>
        </w:rPr>
        <w:t>On the 10,000-sample test partition, the model successfully caught 94 fraudulent loans (TP), while clearing 5,087 legitimate loans (TN) without audit friction. It produced 4,708 false alarms (FP) and missed 111 fraudulent applications (FN). Figure 7.2 translates these quadrants into financial dollar risk exposure.</w:t>
      </w:r>
    </w:p>
    <w:p>
      <w:pPr>
        <w:spacing w:before="80" w:after="40"/>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fig_7_2_financial_cost_matrix.png"/>
                    <pic:cNvPicPr/>
                  </pic:nvPicPr>
                  <pic:blipFill>
                    <a:blip r:embed="rId25"/>
                    <a:stretch>
                      <a:fillRect/>
                    </a:stretch>
                  </pic:blipFill>
                  <pic:spPr>
                    <a:xfrm>
                      <a:off x="0" y="0"/>
                      <a:ext cx="5029200" cy="3352800"/>
                    </a:xfrm>
                    <a:prstGeom prst="rect"/>
                  </pic:spPr>
                </pic:pic>
              </a:graphicData>
            </a:graphic>
          </wp:inline>
        </w:drawing>
      </w:r>
    </w:p>
    <w:p>
      <w:pPr>
        <w:spacing w:before="80" w:after="160" w:line="276" w:lineRule="auto"/>
        <w:jc w:val="center"/>
      </w:pPr>
      <w:r>
        <w:rPr>
          <w:rFonts w:ascii="Times New Roman" w:hAnsi="Times New Roman"/>
          <w:b w:val="0"/>
          <w:i w:val="0"/>
          <w:sz w:val="22"/>
        </w:rPr>
        <w:t>Fig. 7.2 Financial cost and risk mitigation matrix</w:t>
      </w:r>
    </w:p>
    <w:p>
      <w:r>
        <w:br w:type="page"/>
      </w:r>
    </w:p>
    <w:p>
      <w:pPr>
        <w:spacing w:before="80" w:after="40"/>
        <w:jc w:val="center"/>
      </w:pPr>
      <w:r>
        <w:drawing>
          <wp:inline xmlns:a="http://schemas.openxmlformats.org/drawingml/2006/main" xmlns:pic="http://schemas.openxmlformats.org/drawingml/2006/picture">
            <wp:extent cx="4754880" cy="4075611"/>
            <wp:docPr id="18" name="Picture 18"/>
            <wp:cNvGraphicFramePr>
              <a:graphicFrameLocks noChangeAspect="1"/>
            </wp:cNvGraphicFramePr>
            <a:graphic>
              <a:graphicData uri="http://schemas.openxmlformats.org/drawingml/2006/picture">
                <pic:pic>
                  <pic:nvPicPr>
                    <pic:cNvPr id="0" name="fig_7_3_roc_curve.png"/>
                    <pic:cNvPicPr/>
                  </pic:nvPicPr>
                  <pic:blipFill>
                    <a:blip r:embed="rId26"/>
                    <a:stretch>
                      <a:fillRect/>
                    </a:stretch>
                  </pic:blipFill>
                  <pic:spPr>
                    <a:xfrm>
                      <a:off x="0" y="0"/>
                      <a:ext cx="4754880" cy="4075611"/>
                    </a:xfrm>
                    <a:prstGeom prst="rect"/>
                  </pic:spPr>
                </pic:pic>
              </a:graphicData>
            </a:graphic>
          </wp:inline>
        </w:drawing>
      </w:r>
    </w:p>
    <w:p>
      <w:pPr>
        <w:spacing w:before="80" w:after="160" w:line="276" w:lineRule="auto"/>
        <w:jc w:val="center"/>
      </w:pPr>
      <w:r>
        <w:rPr>
          <w:rFonts w:ascii="Times New Roman" w:hAnsi="Times New Roman"/>
          <w:b w:val="0"/>
          <w:i w:val="0"/>
          <w:sz w:val="22"/>
        </w:rPr>
        <w:t>Fig. 7.3 Receiver Operating Characteristic (ROC) curve</w:t>
      </w:r>
    </w:p>
    <w:p>
      <w:pPr>
        <w:spacing w:before="200" w:after="80" w:line="276" w:lineRule="auto"/>
        <w:jc w:val="left"/>
      </w:pPr>
      <w:r>
        <w:rPr>
          <w:rFonts w:ascii="Times New Roman" w:hAnsi="Times New Roman"/>
          <w:b/>
          <w:i w:val="0"/>
          <w:sz w:val="28"/>
        </w:rPr>
        <w:t>7.5 Discrimination Analysis (ROC vs PR)</w:t>
      </w:r>
    </w:p>
    <w:p>
      <w:pPr>
        <w:spacing w:before="0" w:after="120" w:line="276" w:lineRule="auto"/>
        <w:jc w:val="both"/>
      </w:pPr>
      <w:r>
        <w:rPr>
          <w:rFonts w:ascii="Times New Roman" w:hAnsi="Times New Roman"/>
          <w:b w:val="0"/>
          <w:i w:val="0"/>
          <w:sz w:val="24"/>
        </w:rPr>
        <w:t>Figure 7.3 presents the ROC curve (AUC = 0.4814). In highly imbalanced domains, ROC curves can be overly optimistic due to large numbers of true negatives. Figure 7.4 presents the Precision-Recall curve (PR-AUC = 0.0252), which provides a more sensitive evaluation against the 2.05% no-skill baseline.</w:t>
      </w:r>
    </w:p>
    <w:p>
      <w:pPr>
        <w:spacing w:before="80" w:after="40"/>
        <w:jc w:val="center"/>
      </w:pPr>
      <w:r>
        <w:drawing>
          <wp:inline xmlns:a="http://schemas.openxmlformats.org/drawingml/2006/main" xmlns:pic="http://schemas.openxmlformats.org/drawingml/2006/picture">
            <wp:extent cx="4754880" cy="4075611"/>
            <wp:docPr id="19" name="Picture 19"/>
            <wp:cNvGraphicFramePr>
              <a:graphicFrameLocks noChangeAspect="1"/>
            </wp:cNvGraphicFramePr>
            <a:graphic>
              <a:graphicData uri="http://schemas.openxmlformats.org/drawingml/2006/picture">
                <pic:pic>
                  <pic:nvPicPr>
                    <pic:cNvPr id="0" name="fig_7_4_precision_recall_curve.png"/>
                    <pic:cNvPicPr/>
                  </pic:nvPicPr>
                  <pic:blipFill>
                    <a:blip r:embed="rId27"/>
                    <a:stretch>
                      <a:fillRect/>
                    </a:stretch>
                  </pic:blipFill>
                  <pic:spPr>
                    <a:xfrm>
                      <a:off x="0" y="0"/>
                      <a:ext cx="4754880" cy="4075611"/>
                    </a:xfrm>
                    <a:prstGeom prst="rect"/>
                  </pic:spPr>
                </pic:pic>
              </a:graphicData>
            </a:graphic>
          </wp:inline>
        </w:drawing>
      </w:r>
    </w:p>
    <w:p>
      <w:pPr>
        <w:spacing w:before="80" w:after="160" w:line="276" w:lineRule="auto"/>
        <w:jc w:val="center"/>
      </w:pPr>
      <w:r>
        <w:rPr>
          <w:rFonts w:ascii="Times New Roman" w:hAnsi="Times New Roman"/>
          <w:b w:val="0"/>
          <w:i w:val="0"/>
          <w:sz w:val="22"/>
        </w:rPr>
        <w:t>Fig. 7.4 Precision-Recall curve with no-skill baseline</w:t>
      </w:r>
    </w:p>
    <w:p>
      <w:r>
        <w:br w:type="page"/>
      </w:r>
    </w:p>
    <w:p>
      <w:pPr>
        <w:spacing w:before="80" w:after="40"/>
        <w:jc w:val="center"/>
      </w:pPr>
      <w:r>
        <w:drawing>
          <wp:inline xmlns:a="http://schemas.openxmlformats.org/drawingml/2006/main" xmlns:pic="http://schemas.openxmlformats.org/drawingml/2006/picture">
            <wp:extent cx="5029200" cy="3073400"/>
            <wp:docPr id="20" name="Picture 20"/>
            <wp:cNvGraphicFramePr>
              <a:graphicFrameLocks noChangeAspect="1"/>
            </wp:cNvGraphicFramePr>
            <a:graphic>
              <a:graphicData uri="http://schemas.openxmlformats.org/drawingml/2006/picture">
                <pic:pic>
                  <pic:nvPicPr>
                    <pic:cNvPr id="0" name="fig_7_5_threshold_curve.png"/>
                    <pic:cNvPicPr/>
                  </pic:nvPicPr>
                  <pic:blipFill>
                    <a:blip r:embed="rId28"/>
                    <a:stretch>
                      <a:fillRect/>
                    </a:stretch>
                  </pic:blipFill>
                  <pic:spPr>
                    <a:xfrm>
                      <a:off x="0" y="0"/>
                      <a:ext cx="5029200" cy="3073400"/>
                    </a:xfrm>
                    <a:prstGeom prst="rect"/>
                  </pic:spPr>
                </pic:pic>
              </a:graphicData>
            </a:graphic>
          </wp:inline>
        </w:drawing>
      </w:r>
    </w:p>
    <w:p>
      <w:pPr>
        <w:spacing w:before="80" w:after="160" w:line="276" w:lineRule="auto"/>
        <w:jc w:val="center"/>
      </w:pPr>
      <w:r>
        <w:rPr>
          <w:rFonts w:ascii="Times New Roman" w:hAnsi="Times New Roman"/>
          <w:b w:val="0"/>
          <w:i w:val="0"/>
          <w:sz w:val="22"/>
        </w:rPr>
        <w:t>Fig. 7.5 Decision threshold trade-off curve across operating cutoffs</w:t>
      </w:r>
    </w:p>
    <w:p>
      <w:pPr>
        <w:spacing w:before="200" w:after="80" w:line="276" w:lineRule="auto"/>
        <w:jc w:val="left"/>
      </w:pPr>
      <w:r>
        <w:rPr>
          <w:rFonts w:ascii="Times New Roman" w:hAnsi="Times New Roman"/>
          <w:b/>
          <w:i w:val="0"/>
          <w:sz w:val="28"/>
        </w:rPr>
        <w:t>7.6 Threshold Optimization Analysis</w:t>
      </w:r>
    </w:p>
    <w:p>
      <w:pPr>
        <w:spacing w:before="0" w:after="120" w:line="276" w:lineRule="auto"/>
        <w:jc w:val="both"/>
      </w:pPr>
      <w:r>
        <w:rPr>
          <w:rFonts w:ascii="Times New Roman" w:hAnsi="Times New Roman"/>
          <w:b w:val="0"/>
          <w:i w:val="0"/>
          <w:sz w:val="24"/>
        </w:rPr>
        <w:t>Figure 7.5 demonstrates the dynamic interplay between Precision and Recall across decision thresholds. As the threshold increases beyond 0.50, recall drops sharply toward zero. Figure 7.6 summarizes accuracy and recall across metrics.</w:t>
      </w:r>
    </w:p>
    <w:p>
      <w:pPr>
        <w:spacing w:before="80" w:after="40"/>
        <w:jc w:val="center"/>
      </w:pPr>
      <w:r>
        <w:drawing>
          <wp:inline xmlns:a="http://schemas.openxmlformats.org/drawingml/2006/main" xmlns:pic="http://schemas.openxmlformats.org/drawingml/2006/picture">
            <wp:extent cx="5029200" cy="2514600"/>
            <wp:docPr id="21" name="Picture 21"/>
            <wp:cNvGraphicFramePr>
              <a:graphicFrameLocks noChangeAspect="1"/>
            </wp:cNvGraphicFramePr>
            <a:graphic>
              <a:graphicData uri="http://schemas.openxmlformats.org/drawingml/2006/picture">
                <pic:pic>
                  <pic:nvPicPr>
                    <pic:cNvPr id="0" name="fig_7_6_metrics_barchart.png"/>
                    <pic:cNvPicPr/>
                  </pic:nvPicPr>
                  <pic:blipFill>
                    <a:blip r:embed="rId29"/>
                    <a:stretch>
                      <a:fillRect/>
                    </a:stretch>
                  </pic:blipFill>
                  <pic:spPr>
                    <a:xfrm>
                      <a:off x="0" y="0"/>
                      <a:ext cx="5029200" cy="2514600"/>
                    </a:xfrm>
                    <a:prstGeom prst="rect"/>
                  </pic:spPr>
                </pic:pic>
              </a:graphicData>
            </a:graphic>
          </wp:inline>
        </w:drawing>
      </w:r>
    </w:p>
    <w:p>
      <w:pPr>
        <w:spacing w:before="80" w:after="160" w:line="276" w:lineRule="auto"/>
        <w:jc w:val="center"/>
      </w:pPr>
      <w:r>
        <w:rPr>
          <w:rFonts w:ascii="Times New Roman" w:hAnsi="Times New Roman"/>
          <w:b w:val="0"/>
          <w:i w:val="0"/>
          <w:sz w:val="22"/>
        </w:rPr>
        <w:t>Fig. 7.6 Metrics comparison scorecard bar chart</w:t>
      </w:r>
    </w:p>
    <w:p>
      <w:r>
        <w:br w:type="page"/>
      </w:r>
    </w:p>
    <w:p>
      <w:pPr>
        <w:spacing w:before="200" w:after="80" w:line="276" w:lineRule="auto"/>
        <w:jc w:val="left"/>
      </w:pPr>
      <w:r>
        <w:rPr>
          <w:rFonts w:ascii="Times New Roman" w:hAnsi="Times New Roman"/>
          <w:b/>
          <w:i w:val="0"/>
          <w:sz w:val="28"/>
        </w:rPr>
        <w:t>7.7 Comprehensive Multi-Threshold Analysis Table</w:t>
      </w:r>
    </w:p>
    <w:p>
      <w:pPr>
        <w:spacing w:before="160" w:after="60" w:line="276" w:lineRule="auto"/>
        <w:jc w:val="left"/>
      </w:pPr>
      <w:r>
        <w:rPr>
          <w:rFonts w:ascii="Times New Roman" w:hAnsi="Times New Roman"/>
          <w:b/>
          <w:i w:val="0"/>
          <w:sz w:val="24"/>
        </w:rPr>
        <w:t>Table 7.1: Multi-threshold comparison table (0.10 to 0.90)</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1290"/>
        <w:gridCol w:w="1290"/>
        <w:gridCol w:w="1290"/>
        <w:gridCol w:w="1290"/>
        <w:gridCol w:w="1290"/>
        <w:gridCol w:w="1290"/>
        <w:gridCol w:w="1290"/>
      </w:tblGrid>
      <w:tr>
        <w:tc>
          <w:tcPr>
            <w:tcW w:type="dxa" w:w="1584"/>
            <w:shd w:fill="F5F5F5"/>
            <w:tcMar>
              <w:top w:w="25" w:type="dxa"/>
              <w:bottom w:w="25" w:type="dxa"/>
              <w:left w:w="35" w:type="dxa"/>
              <w:right w:w="35" w:type="dxa"/>
            </w:tcMar>
          </w:tcPr>
          <w:p>
            <w:pPr>
              <w:jc w:val="center"/>
            </w:pPr>
            <w:r>
              <w:rPr>
                <w:b/>
              </w:rPr>
              <w:t>Threshold</w:t>
            </w:r>
          </w:p>
        </w:tc>
        <w:tc>
          <w:tcPr>
            <w:tcW w:type="dxa" w:w="1152"/>
            <w:shd w:fill="F5F5F5"/>
            <w:tcMar>
              <w:top w:w="25" w:type="dxa"/>
              <w:bottom w:w="25" w:type="dxa"/>
              <w:left w:w="35" w:type="dxa"/>
              <w:right w:w="35" w:type="dxa"/>
            </w:tcMar>
          </w:tcPr>
          <w:p>
            <w:pPr>
              <w:jc w:val="center"/>
            </w:pPr>
            <w:r>
              <w:rPr>
                <w:b/>
              </w:rPr>
              <w:t>Accuracy</w:t>
            </w:r>
          </w:p>
        </w:tc>
        <w:tc>
          <w:tcPr>
            <w:tcW w:type="dxa" w:w="1152"/>
            <w:shd w:fill="F5F5F5"/>
            <w:tcMar>
              <w:top w:w="25" w:type="dxa"/>
              <w:bottom w:w="25" w:type="dxa"/>
              <w:left w:w="35" w:type="dxa"/>
              <w:right w:w="35" w:type="dxa"/>
            </w:tcMar>
          </w:tcPr>
          <w:p>
            <w:pPr>
              <w:jc w:val="center"/>
            </w:pPr>
            <w:r>
              <w:rPr>
                <w:b/>
              </w:rPr>
              <w:t>Precision</w:t>
            </w:r>
          </w:p>
        </w:tc>
        <w:tc>
          <w:tcPr>
            <w:tcW w:type="dxa" w:w="1152"/>
            <w:shd w:fill="F5F5F5"/>
            <w:tcMar>
              <w:top w:w="25" w:type="dxa"/>
              <w:bottom w:w="25" w:type="dxa"/>
              <w:left w:w="35" w:type="dxa"/>
              <w:right w:w="35" w:type="dxa"/>
            </w:tcMar>
          </w:tcPr>
          <w:p>
            <w:pPr>
              <w:jc w:val="center"/>
            </w:pPr>
            <w:r>
              <w:rPr>
                <w:b/>
              </w:rPr>
              <w:t>Recall</w:t>
            </w:r>
          </w:p>
        </w:tc>
        <w:tc>
          <w:tcPr>
            <w:tcW w:type="dxa" w:w="1152"/>
            <w:shd w:fill="F5F5F5"/>
            <w:tcMar>
              <w:top w:w="25" w:type="dxa"/>
              <w:bottom w:w="25" w:type="dxa"/>
              <w:left w:w="35" w:type="dxa"/>
              <w:right w:w="35" w:type="dxa"/>
            </w:tcMar>
          </w:tcPr>
          <w:p>
            <w:pPr>
              <w:jc w:val="center"/>
            </w:pPr>
            <w:r>
              <w:rPr>
                <w:b/>
              </w:rPr>
              <w:t>F1-Score</w:t>
            </w:r>
          </w:p>
        </w:tc>
        <w:tc>
          <w:tcPr>
            <w:tcW w:type="dxa" w:w="1296"/>
            <w:shd w:fill="F5F5F5"/>
            <w:tcMar>
              <w:top w:w="25" w:type="dxa"/>
              <w:bottom w:w="25" w:type="dxa"/>
              <w:left w:w="35" w:type="dxa"/>
              <w:right w:w="35" w:type="dxa"/>
            </w:tcMar>
          </w:tcPr>
          <w:p>
            <w:pPr>
              <w:jc w:val="center"/>
            </w:pPr>
            <w:r>
              <w:rPr>
                <w:b/>
              </w:rPr>
              <w:t>Caught (TP)</w:t>
            </w:r>
          </w:p>
        </w:tc>
        <w:tc>
          <w:tcPr>
            <w:tcW w:type="dxa" w:w="1440"/>
            <w:shd w:fill="F5F5F5"/>
            <w:tcMar>
              <w:top w:w="25" w:type="dxa"/>
              <w:bottom w:w="25" w:type="dxa"/>
              <w:left w:w="35" w:type="dxa"/>
              <w:right w:w="35" w:type="dxa"/>
            </w:tcMar>
          </w:tcPr>
          <w:p>
            <w:pPr>
              <w:jc w:val="center"/>
            </w:pPr>
            <w:r>
              <w:rPr>
                <w:b/>
              </w:rPr>
              <w:t>Alarms (FP)</w:t>
            </w:r>
          </w:p>
        </w:tc>
      </w:tr>
      <w:tr>
        <w:tc>
          <w:tcPr>
            <w:tcW w:type="dxa" w:w="1584"/>
            <w:tcMar>
              <w:top w:w="25" w:type="dxa"/>
              <w:bottom w:w="25" w:type="dxa"/>
              <w:left w:w="35" w:type="dxa"/>
              <w:right w:w="35" w:type="dxa"/>
            </w:tcMar>
          </w:tcPr>
          <w:p>
            <w:pPr>
              <w:jc w:val="center"/>
            </w:pPr>
            <w:r>
              <w:t>0.10</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1.0000</w:t>
            </w:r>
          </w:p>
        </w:tc>
        <w:tc>
          <w:tcPr>
            <w:tcW w:type="dxa" w:w="1152"/>
            <w:tcMar>
              <w:top w:w="25" w:type="dxa"/>
              <w:bottom w:w="25" w:type="dxa"/>
              <w:left w:w="35" w:type="dxa"/>
              <w:right w:w="35" w:type="dxa"/>
            </w:tcMar>
          </w:tcPr>
          <w:p>
            <w:pPr>
              <w:jc w:val="center"/>
            </w:pPr>
            <w:r>
              <w:t>0.0402</w:t>
            </w:r>
          </w:p>
        </w:tc>
        <w:tc>
          <w:tcPr>
            <w:tcW w:type="dxa" w:w="1296"/>
            <w:tcMar>
              <w:top w:w="25" w:type="dxa"/>
              <w:bottom w:w="25" w:type="dxa"/>
              <w:left w:w="35" w:type="dxa"/>
              <w:right w:w="35" w:type="dxa"/>
            </w:tcMar>
          </w:tcPr>
          <w:p>
            <w:pPr>
              <w:jc w:val="center"/>
            </w:pPr>
            <w:r>
              <w:t>205</w:t>
            </w:r>
          </w:p>
        </w:tc>
        <w:tc>
          <w:tcPr>
            <w:tcW w:type="dxa" w:w="1440"/>
            <w:tcMar>
              <w:top w:w="25" w:type="dxa"/>
              <w:bottom w:w="25" w:type="dxa"/>
              <w:left w:w="35" w:type="dxa"/>
              <w:right w:w="35" w:type="dxa"/>
            </w:tcMar>
          </w:tcPr>
          <w:p>
            <w:pPr>
              <w:jc w:val="center"/>
            </w:pPr>
            <w:r>
              <w:t>9,795</w:t>
            </w:r>
          </w:p>
        </w:tc>
      </w:tr>
      <w:tr>
        <w:tc>
          <w:tcPr>
            <w:tcW w:type="dxa" w:w="1584"/>
            <w:tcMar>
              <w:top w:w="25" w:type="dxa"/>
              <w:bottom w:w="25" w:type="dxa"/>
              <w:left w:w="35" w:type="dxa"/>
              <w:right w:w="35" w:type="dxa"/>
            </w:tcMar>
          </w:tcPr>
          <w:p>
            <w:pPr>
              <w:jc w:val="center"/>
            </w:pPr>
            <w:r>
              <w:t>0.20</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1.0000</w:t>
            </w:r>
          </w:p>
        </w:tc>
        <w:tc>
          <w:tcPr>
            <w:tcW w:type="dxa" w:w="1152"/>
            <w:tcMar>
              <w:top w:w="25" w:type="dxa"/>
              <w:bottom w:w="25" w:type="dxa"/>
              <w:left w:w="35" w:type="dxa"/>
              <w:right w:w="35" w:type="dxa"/>
            </w:tcMar>
          </w:tcPr>
          <w:p>
            <w:pPr>
              <w:jc w:val="center"/>
            </w:pPr>
            <w:r>
              <w:t>0.0402</w:t>
            </w:r>
          </w:p>
        </w:tc>
        <w:tc>
          <w:tcPr>
            <w:tcW w:type="dxa" w:w="1296"/>
            <w:tcMar>
              <w:top w:w="25" w:type="dxa"/>
              <w:bottom w:w="25" w:type="dxa"/>
              <w:left w:w="35" w:type="dxa"/>
              <w:right w:w="35" w:type="dxa"/>
            </w:tcMar>
          </w:tcPr>
          <w:p>
            <w:pPr>
              <w:jc w:val="center"/>
            </w:pPr>
            <w:r>
              <w:t>205</w:t>
            </w:r>
          </w:p>
        </w:tc>
        <w:tc>
          <w:tcPr>
            <w:tcW w:type="dxa" w:w="1440"/>
            <w:tcMar>
              <w:top w:w="25" w:type="dxa"/>
              <w:bottom w:w="25" w:type="dxa"/>
              <w:left w:w="35" w:type="dxa"/>
              <w:right w:w="35" w:type="dxa"/>
            </w:tcMar>
          </w:tcPr>
          <w:p>
            <w:pPr>
              <w:jc w:val="center"/>
            </w:pPr>
            <w:r>
              <w:t>9,795</w:t>
            </w:r>
          </w:p>
        </w:tc>
      </w:tr>
      <w:tr>
        <w:tc>
          <w:tcPr>
            <w:tcW w:type="dxa" w:w="1584"/>
            <w:tcMar>
              <w:top w:w="25" w:type="dxa"/>
              <w:bottom w:w="25" w:type="dxa"/>
              <w:left w:w="35" w:type="dxa"/>
              <w:right w:w="35" w:type="dxa"/>
            </w:tcMar>
          </w:tcPr>
          <w:p>
            <w:pPr>
              <w:jc w:val="center"/>
            </w:pPr>
            <w:r>
              <w:t>0.30</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1.0000</w:t>
            </w:r>
          </w:p>
        </w:tc>
        <w:tc>
          <w:tcPr>
            <w:tcW w:type="dxa" w:w="1152"/>
            <w:tcMar>
              <w:top w:w="25" w:type="dxa"/>
              <w:bottom w:w="25" w:type="dxa"/>
              <w:left w:w="35" w:type="dxa"/>
              <w:right w:w="35" w:type="dxa"/>
            </w:tcMar>
          </w:tcPr>
          <w:p>
            <w:pPr>
              <w:jc w:val="center"/>
            </w:pPr>
            <w:r>
              <w:t>0.0402</w:t>
            </w:r>
          </w:p>
        </w:tc>
        <w:tc>
          <w:tcPr>
            <w:tcW w:type="dxa" w:w="1296"/>
            <w:tcMar>
              <w:top w:w="25" w:type="dxa"/>
              <w:bottom w:w="25" w:type="dxa"/>
              <w:left w:w="35" w:type="dxa"/>
              <w:right w:w="35" w:type="dxa"/>
            </w:tcMar>
          </w:tcPr>
          <w:p>
            <w:pPr>
              <w:jc w:val="center"/>
            </w:pPr>
            <w:r>
              <w:t>205</w:t>
            </w:r>
          </w:p>
        </w:tc>
        <w:tc>
          <w:tcPr>
            <w:tcW w:type="dxa" w:w="1440"/>
            <w:tcMar>
              <w:top w:w="25" w:type="dxa"/>
              <w:bottom w:w="25" w:type="dxa"/>
              <w:left w:w="35" w:type="dxa"/>
              <w:right w:w="35" w:type="dxa"/>
            </w:tcMar>
          </w:tcPr>
          <w:p>
            <w:pPr>
              <w:jc w:val="center"/>
            </w:pPr>
            <w:r>
              <w:t>9,795</w:t>
            </w:r>
          </w:p>
        </w:tc>
      </w:tr>
      <w:tr>
        <w:tc>
          <w:tcPr>
            <w:tcW w:type="dxa" w:w="1584"/>
            <w:tcMar>
              <w:top w:w="25" w:type="dxa"/>
              <w:bottom w:w="25" w:type="dxa"/>
              <w:left w:w="35" w:type="dxa"/>
              <w:right w:w="35" w:type="dxa"/>
            </w:tcMar>
          </w:tcPr>
          <w:p>
            <w:pPr>
              <w:jc w:val="center"/>
            </w:pPr>
            <w:r>
              <w:t>0.40</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0.0205</w:t>
            </w:r>
          </w:p>
        </w:tc>
        <w:tc>
          <w:tcPr>
            <w:tcW w:type="dxa" w:w="1152"/>
            <w:tcMar>
              <w:top w:w="25" w:type="dxa"/>
              <w:bottom w:w="25" w:type="dxa"/>
              <w:left w:w="35" w:type="dxa"/>
              <w:right w:w="35" w:type="dxa"/>
            </w:tcMar>
          </w:tcPr>
          <w:p>
            <w:pPr>
              <w:jc w:val="center"/>
            </w:pPr>
            <w:r>
              <w:t>1.0000</w:t>
            </w:r>
          </w:p>
        </w:tc>
        <w:tc>
          <w:tcPr>
            <w:tcW w:type="dxa" w:w="1152"/>
            <w:tcMar>
              <w:top w:w="25" w:type="dxa"/>
              <w:bottom w:w="25" w:type="dxa"/>
              <w:left w:w="35" w:type="dxa"/>
              <w:right w:w="35" w:type="dxa"/>
            </w:tcMar>
          </w:tcPr>
          <w:p>
            <w:pPr>
              <w:jc w:val="center"/>
            </w:pPr>
            <w:r>
              <w:t>0.0402</w:t>
            </w:r>
          </w:p>
        </w:tc>
        <w:tc>
          <w:tcPr>
            <w:tcW w:type="dxa" w:w="1296"/>
            <w:tcMar>
              <w:top w:w="25" w:type="dxa"/>
              <w:bottom w:w="25" w:type="dxa"/>
              <w:left w:w="35" w:type="dxa"/>
              <w:right w:w="35" w:type="dxa"/>
            </w:tcMar>
          </w:tcPr>
          <w:p>
            <w:pPr>
              <w:jc w:val="center"/>
            </w:pPr>
            <w:r>
              <w:t>205</w:t>
            </w:r>
          </w:p>
        </w:tc>
        <w:tc>
          <w:tcPr>
            <w:tcW w:type="dxa" w:w="1440"/>
            <w:tcMar>
              <w:top w:w="25" w:type="dxa"/>
              <w:bottom w:w="25" w:type="dxa"/>
              <w:left w:w="35" w:type="dxa"/>
              <w:right w:w="35" w:type="dxa"/>
            </w:tcMar>
          </w:tcPr>
          <w:p>
            <w:pPr>
              <w:jc w:val="center"/>
            </w:pPr>
            <w:r>
              <w:t>9,795</w:t>
            </w:r>
          </w:p>
        </w:tc>
      </w:tr>
      <w:tr>
        <w:tc>
          <w:tcPr>
            <w:tcW w:type="dxa" w:w="1584"/>
            <w:tcMar>
              <w:top w:w="25" w:type="dxa"/>
              <w:bottom w:w="25" w:type="dxa"/>
              <w:left w:w="35" w:type="dxa"/>
              <w:right w:w="35" w:type="dxa"/>
            </w:tcMar>
          </w:tcPr>
          <w:p>
            <w:pPr>
              <w:jc w:val="center"/>
            </w:pPr>
            <w:r>
              <w:t>0.50 (Bal)</w:t>
            </w:r>
          </w:p>
        </w:tc>
        <w:tc>
          <w:tcPr>
            <w:tcW w:type="dxa" w:w="1152"/>
            <w:tcMar>
              <w:top w:w="25" w:type="dxa"/>
              <w:bottom w:w="25" w:type="dxa"/>
              <w:left w:w="35" w:type="dxa"/>
              <w:right w:w="35" w:type="dxa"/>
            </w:tcMar>
          </w:tcPr>
          <w:p>
            <w:pPr>
              <w:jc w:val="center"/>
            </w:pPr>
            <w:r>
              <w:t>0.5181</w:t>
            </w:r>
          </w:p>
        </w:tc>
        <w:tc>
          <w:tcPr>
            <w:tcW w:type="dxa" w:w="1152"/>
            <w:tcMar>
              <w:top w:w="25" w:type="dxa"/>
              <w:bottom w:w="25" w:type="dxa"/>
              <w:left w:w="35" w:type="dxa"/>
              <w:right w:w="35" w:type="dxa"/>
            </w:tcMar>
          </w:tcPr>
          <w:p>
            <w:pPr>
              <w:jc w:val="center"/>
            </w:pPr>
            <w:r>
              <w:t>0.0196</w:t>
            </w:r>
          </w:p>
        </w:tc>
        <w:tc>
          <w:tcPr>
            <w:tcW w:type="dxa" w:w="1152"/>
            <w:tcMar>
              <w:top w:w="25" w:type="dxa"/>
              <w:bottom w:w="25" w:type="dxa"/>
              <w:left w:w="35" w:type="dxa"/>
              <w:right w:w="35" w:type="dxa"/>
            </w:tcMar>
          </w:tcPr>
          <w:p>
            <w:pPr>
              <w:jc w:val="center"/>
            </w:pPr>
            <w:r>
              <w:t>0.4585</w:t>
            </w:r>
          </w:p>
        </w:tc>
        <w:tc>
          <w:tcPr>
            <w:tcW w:type="dxa" w:w="1152"/>
            <w:tcMar>
              <w:top w:w="25" w:type="dxa"/>
              <w:bottom w:w="25" w:type="dxa"/>
              <w:left w:w="35" w:type="dxa"/>
              <w:right w:w="35" w:type="dxa"/>
            </w:tcMar>
          </w:tcPr>
          <w:p>
            <w:pPr>
              <w:jc w:val="center"/>
            </w:pPr>
            <w:r>
              <w:t>0.0375</w:t>
            </w:r>
          </w:p>
        </w:tc>
        <w:tc>
          <w:tcPr>
            <w:tcW w:type="dxa" w:w="1296"/>
            <w:tcMar>
              <w:top w:w="25" w:type="dxa"/>
              <w:bottom w:w="25" w:type="dxa"/>
              <w:left w:w="35" w:type="dxa"/>
              <w:right w:w="35" w:type="dxa"/>
            </w:tcMar>
          </w:tcPr>
          <w:p>
            <w:pPr>
              <w:jc w:val="center"/>
            </w:pPr>
            <w:r>
              <w:t>94</w:t>
            </w:r>
          </w:p>
        </w:tc>
        <w:tc>
          <w:tcPr>
            <w:tcW w:type="dxa" w:w="1440"/>
            <w:tcMar>
              <w:top w:w="25" w:type="dxa"/>
              <w:bottom w:w="25" w:type="dxa"/>
              <w:left w:w="35" w:type="dxa"/>
              <w:right w:w="35" w:type="dxa"/>
            </w:tcMar>
          </w:tcPr>
          <w:p>
            <w:pPr>
              <w:jc w:val="center"/>
            </w:pPr>
            <w:r>
              <w:t>4,708</w:t>
            </w:r>
          </w:p>
        </w:tc>
      </w:tr>
      <w:tr>
        <w:tc>
          <w:tcPr>
            <w:tcW w:type="dxa" w:w="1584"/>
            <w:tcMar>
              <w:top w:w="25" w:type="dxa"/>
              <w:bottom w:w="25" w:type="dxa"/>
              <w:left w:w="35" w:type="dxa"/>
              <w:right w:w="35" w:type="dxa"/>
            </w:tcMar>
          </w:tcPr>
          <w:p>
            <w:pPr>
              <w:jc w:val="center"/>
            </w:pPr>
            <w:r>
              <w:t>0.60</w:t>
            </w:r>
          </w:p>
        </w:tc>
        <w:tc>
          <w:tcPr>
            <w:tcW w:type="dxa" w:w="1152"/>
            <w:tcMar>
              <w:top w:w="25" w:type="dxa"/>
              <w:bottom w:w="25" w:type="dxa"/>
              <w:left w:w="35" w:type="dxa"/>
              <w:right w:w="35" w:type="dxa"/>
            </w:tcMar>
          </w:tcPr>
          <w:p>
            <w:pPr>
              <w:jc w:val="center"/>
            </w:pPr>
            <w:r>
              <w:t>0.9795</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296"/>
            <w:tcMar>
              <w:top w:w="25" w:type="dxa"/>
              <w:bottom w:w="25" w:type="dxa"/>
              <w:left w:w="35" w:type="dxa"/>
              <w:right w:w="35" w:type="dxa"/>
            </w:tcMar>
          </w:tcPr>
          <w:p>
            <w:pPr>
              <w:jc w:val="center"/>
            </w:pPr>
            <w:r>
              <w:t>0</w:t>
            </w:r>
          </w:p>
        </w:tc>
        <w:tc>
          <w:tcPr>
            <w:tcW w:type="dxa" w:w="1440"/>
            <w:tcMar>
              <w:top w:w="25" w:type="dxa"/>
              <w:bottom w:w="25" w:type="dxa"/>
              <w:left w:w="35" w:type="dxa"/>
              <w:right w:w="35" w:type="dxa"/>
            </w:tcMar>
          </w:tcPr>
          <w:p>
            <w:pPr>
              <w:jc w:val="center"/>
            </w:pPr>
            <w:r>
              <w:t>0</w:t>
            </w:r>
          </w:p>
        </w:tc>
      </w:tr>
      <w:tr>
        <w:tc>
          <w:tcPr>
            <w:tcW w:type="dxa" w:w="1584"/>
            <w:tcMar>
              <w:top w:w="25" w:type="dxa"/>
              <w:bottom w:w="25" w:type="dxa"/>
              <w:left w:w="35" w:type="dxa"/>
              <w:right w:w="35" w:type="dxa"/>
            </w:tcMar>
          </w:tcPr>
          <w:p>
            <w:pPr>
              <w:jc w:val="center"/>
            </w:pPr>
            <w:r>
              <w:t>0.70</w:t>
            </w:r>
          </w:p>
        </w:tc>
        <w:tc>
          <w:tcPr>
            <w:tcW w:type="dxa" w:w="1152"/>
            <w:tcMar>
              <w:top w:w="25" w:type="dxa"/>
              <w:bottom w:w="25" w:type="dxa"/>
              <w:left w:w="35" w:type="dxa"/>
              <w:right w:w="35" w:type="dxa"/>
            </w:tcMar>
          </w:tcPr>
          <w:p>
            <w:pPr>
              <w:jc w:val="center"/>
            </w:pPr>
            <w:r>
              <w:t>0.9795</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296"/>
            <w:tcMar>
              <w:top w:w="25" w:type="dxa"/>
              <w:bottom w:w="25" w:type="dxa"/>
              <w:left w:w="35" w:type="dxa"/>
              <w:right w:w="35" w:type="dxa"/>
            </w:tcMar>
          </w:tcPr>
          <w:p>
            <w:pPr>
              <w:jc w:val="center"/>
            </w:pPr>
            <w:r>
              <w:t>0</w:t>
            </w:r>
          </w:p>
        </w:tc>
        <w:tc>
          <w:tcPr>
            <w:tcW w:type="dxa" w:w="1440"/>
            <w:tcMar>
              <w:top w:w="25" w:type="dxa"/>
              <w:bottom w:w="25" w:type="dxa"/>
              <w:left w:w="35" w:type="dxa"/>
              <w:right w:w="35" w:type="dxa"/>
            </w:tcMar>
          </w:tcPr>
          <w:p>
            <w:pPr>
              <w:jc w:val="center"/>
            </w:pPr>
            <w:r>
              <w:t>0</w:t>
            </w:r>
          </w:p>
        </w:tc>
      </w:tr>
      <w:tr>
        <w:tc>
          <w:tcPr>
            <w:tcW w:type="dxa" w:w="1584"/>
            <w:tcMar>
              <w:top w:w="25" w:type="dxa"/>
              <w:bottom w:w="25" w:type="dxa"/>
              <w:left w:w="35" w:type="dxa"/>
              <w:right w:w="35" w:type="dxa"/>
            </w:tcMar>
          </w:tcPr>
          <w:p>
            <w:pPr>
              <w:jc w:val="center"/>
            </w:pPr>
            <w:r>
              <w:t>0.80</w:t>
            </w:r>
          </w:p>
        </w:tc>
        <w:tc>
          <w:tcPr>
            <w:tcW w:type="dxa" w:w="1152"/>
            <w:tcMar>
              <w:top w:w="25" w:type="dxa"/>
              <w:bottom w:w="25" w:type="dxa"/>
              <w:left w:w="35" w:type="dxa"/>
              <w:right w:w="35" w:type="dxa"/>
            </w:tcMar>
          </w:tcPr>
          <w:p>
            <w:pPr>
              <w:jc w:val="center"/>
            </w:pPr>
            <w:r>
              <w:t>0.9795</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296"/>
            <w:tcMar>
              <w:top w:w="25" w:type="dxa"/>
              <w:bottom w:w="25" w:type="dxa"/>
              <w:left w:w="35" w:type="dxa"/>
              <w:right w:w="35" w:type="dxa"/>
            </w:tcMar>
          </w:tcPr>
          <w:p>
            <w:pPr>
              <w:jc w:val="center"/>
            </w:pPr>
            <w:r>
              <w:t>0</w:t>
            </w:r>
          </w:p>
        </w:tc>
        <w:tc>
          <w:tcPr>
            <w:tcW w:type="dxa" w:w="1440"/>
            <w:tcMar>
              <w:top w:w="25" w:type="dxa"/>
              <w:bottom w:w="25" w:type="dxa"/>
              <w:left w:w="35" w:type="dxa"/>
              <w:right w:w="35" w:type="dxa"/>
            </w:tcMar>
          </w:tcPr>
          <w:p>
            <w:pPr>
              <w:jc w:val="center"/>
            </w:pPr>
            <w:r>
              <w:t>0</w:t>
            </w:r>
          </w:p>
        </w:tc>
      </w:tr>
      <w:tr>
        <w:tc>
          <w:tcPr>
            <w:tcW w:type="dxa" w:w="1584"/>
            <w:tcMar>
              <w:top w:w="25" w:type="dxa"/>
              <w:bottom w:w="25" w:type="dxa"/>
              <w:left w:w="35" w:type="dxa"/>
              <w:right w:w="35" w:type="dxa"/>
            </w:tcMar>
          </w:tcPr>
          <w:p>
            <w:pPr>
              <w:jc w:val="center"/>
            </w:pPr>
            <w:r>
              <w:t>0.90</w:t>
            </w:r>
          </w:p>
        </w:tc>
        <w:tc>
          <w:tcPr>
            <w:tcW w:type="dxa" w:w="1152"/>
            <w:tcMar>
              <w:top w:w="25" w:type="dxa"/>
              <w:bottom w:w="25" w:type="dxa"/>
              <w:left w:w="35" w:type="dxa"/>
              <w:right w:w="35" w:type="dxa"/>
            </w:tcMar>
          </w:tcPr>
          <w:p>
            <w:pPr>
              <w:jc w:val="center"/>
            </w:pPr>
            <w:r>
              <w:t>0.9795</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152"/>
            <w:tcMar>
              <w:top w:w="25" w:type="dxa"/>
              <w:bottom w:w="25" w:type="dxa"/>
              <w:left w:w="35" w:type="dxa"/>
              <w:right w:w="35" w:type="dxa"/>
            </w:tcMar>
          </w:tcPr>
          <w:p>
            <w:pPr>
              <w:jc w:val="center"/>
            </w:pPr>
            <w:r>
              <w:t>0.0000</w:t>
            </w:r>
          </w:p>
        </w:tc>
        <w:tc>
          <w:tcPr>
            <w:tcW w:type="dxa" w:w="1296"/>
            <w:tcMar>
              <w:top w:w="25" w:type="dxa"/>
              <w:bottom w:w="25" w:type="dxa"/>
              <w:left w:w="35" w:type="dxa"/>
              <w:right w:w="35" w:type="dxa"/>
            </w:tcMar>
          </w:tcPr>
          <w:p>
            <w:pPr>
              <w:jc w:val="center"/>
            </w:pPr>
            <w:r>
              <w:t>0</w:t>
            </w:r>
          </w:p>
        </w:tc>
        <w:tc>
          <w:tcPr>
            <w:tcW w:type="dxa" w:w="1440"/>
            <w:tcMar>
              <w:top w:w="25" w:type="dxa"/>
              <w:bottom w:w="25" w:type="dxa"/>
              <w:left w:w="35" w:type="dxa"/>
              <w:right w:w="35" w:type="dxa"/>
            </w:tcMar>
          </w:tcPr>
          <w:p>
            <w:pPr>
              <w:jc w:val="center"/>
            </w:pPr>
            <w:r>
              <w:t>0</w:t>
            </w:r>
          </w:p>
        </w:tc>
      </w:tr>
    </w:tbl>
    <w:p>
      <w:pPr>
        <w:spacing w:before="80" w:after="40"/>
        <w:jc w:val="center"/>
      </w:pPr>
      <w:r>
        <w:drawing>
          <wp:inline xmlns:a="http://schemas.openxmlformats.org/drawingml/2006/main" xmlns:pic="http://schemas.openxmlformats.org/drawingml/2006/picture">
            <wp:extent cx="5029200" cy="2662518"/>
            <wp:docPr id="22" name="Picture 22"/>
            <wp:cNvGraphicFramePr>
              <a:graphicFrameLocks noChangeAspect="1"/>
            </wp:cNvGraphicFramePr>
            <a:graphic>
              <a:graphicData uri="http://schemas.openxmlformats.org/drawingml/2006/picture">
                <pic:pic>
                  <pic:nvPicPr>
                    <pic:cNvPr id="0" name="fig_7_7_threshold_financials.png"/>
                    <pic:cNvPicPr/>
                  </pic:nvPicPr>
                  <pic:blipFill>
                    <a:blip r:embed="rId30"/>
                    <a:stretch>
                      <a:fillRect/>
                    </a:stretch>
                  </pic:blipFill>
                  <pic:spPr>
                    <a:xfrm>
                      <a:off x="0" y="0"/>
                      <a:ext cx="5029200" cy="2662518"/>
                    </a:xfrm>
                    <a:prstGeom prst="rect"/>
                  </pic:spPr>
                </pic:pic>
              </a:graphicData>
            </a:graphic>
          </wp:inline>
        </w:drawing>
      </w:r>
    </w:p>
    <w:p>
      <w:pPr>
        <w:spacing w:before="80" w:after="160" w:line="276" w:lineRule="auto"/>
        <w:jc w:val="center"/>
      </w:pPr>
      <w:r>
        <w:rPr>
          <w:rFonts w:ascii="Times New Roman" w:hAnsi="Times New Roman"/>
          <w:b w:val="0"/>
          <w:i w:val="0"/>
          <w:sz w:val="22"/>
        </w:rPr>
        <w:t>Fig. 7.7 Financial savings and risk exposure across decision thresholds</w:t>
      </w:r>
    </w:p>
    <w:p>
      <w:r>
        <w:br w:type="page"/>
      </w:r>
    </w:p>
    <w:p>
      <w:pPr>
        <w:spacing w:before="80" w:after="40"/>
        <w:jc w:val="center"/>
      </w:pPr>
      <w:r>
        <w:drawing>
          <wp:inline xmlns:a="http://schemas.openxmlformats.org/drawingml/2006/main" xmlns:pic="http://schemas.openxmlformats.org/drawingml/2006/picture">
            <wp:extent cx="4754880" cy="2971800"/>
            <wp:docPr id="23" name="Picture 23"/>
            <wp:cNvGraphicFramePr>
              <a:graphicFrameLocks noChangeAspect="1"/>
            </wp:cNvGraphicFramePr>
            <a:graphic>
              <a:graphicData uri="http://schemas.openxmlformats.org/drawingml/2006/picture">
                <pic:pic>
                  <pic:nvPicPr>
                    <pic:cNvPr id="0" name="fig_6_3_prediction_distribution.png"/>
                    <pic:cNvPicPr/>
                  </pic:nvPicPr>
                  <pic:blipFill>
                    <a:blip r:embed="rId22"/>
                    <a:stretch>
                      <a:fillRect/>
                    </a:stretch>
                  </pic:blipFill>
                  <pic:spPr>
                    <a:xfrm>
                      <a:off x="0" y="0"/>
                      <a:ext cx="4754880" cy="2971800"/>
                    </a:xfrm>
                    <a:prstGeom prst="rect"/>
                  </pic:spPr>
                </pic:pic>
              </a:graphicData>
            </a:graphic>
          </wp:inline>
        </w:drawing>
      </w:r>
    </w:p>
    <w:p>
      <w:pPr>
        <w:spacing w:before="80" w:after="160" w:line="276" w:lineRule="auto"/>
        <w:jc w:val="center"/>
      </w:pPr>
      <w:r>
        <w:rPr>
          <w:rFonts w:ascii="Times New Roman" w:hAnsi="Times New Roman"/>
          <w:b w:val="0"/>
          <w:i w:val="0"/>
          <w:sz w:val="22"/>
        </w:rPr>
        <w:t>Fig. 7.8 Prediction probability distribution (Legitimate vs Fraud)</w:t>
      </w:r>
    </w:p>
    <w:p>
      <w:pPr>
        <w:spacing w:before="80" w:after="40"/>
        <w:jc w:val="center"/>
      </w:pPr>
      <w:r>
        <w:drawing>
          <wp:inline xmlns:a="http://schemas.openxmlformats.org/drawingml/2006/main" xmlns:pic="http://schemas.openxmlformats.org/drawingml/2006/picture">
            <wp:extent cx="4754880" cy="3735977"/>
            <wp:docPr id="24" name="Picture 24"/>
            <wp:cNvGraphicFramePr>
              <a:graphicFrameLocks noChangeAspect="1"/>
            </wp:cNvGraphicFramePr>
            <a:graphic>
              <a:graphicData uri="http://schemas.openxmlformats.org/drawingml/2006/picture">
                <pic:pic>
                  <pic:nvPicPr>
                    <pic:cNvPr id="0" name="fig_6_4_calibration_curve.png"/>
                    <pic:cNvPicPr/>
                  </pic:nvPicPr>
                  <pic:blipFill>
                    <a:blip r:embed="rId23"/>
                    <a:stretch>
                      <a:fillRect/>
                    </a:stretch>
                  </pic:blipFill>
                  <pic:spPr>
                    <a:xfrm>
                      <a:off x="0" y="0"/>
                      <a:ext cx="4754880" cy="3735977"/>
                    </a:xfrm>
                    <a:prstGeom prst="rect"/>
                  </pic:spPr>
                </pic:pic>
              </a:graphicData>
            </a:graphic>
          </wp:inline>
        </w:drawing>
      </w:r>
    </w:p>
    <w:p>
      <w:pPr>
        <w:spacing w:before="80" w:after="160" w:line="276" w:lineRule="auto"/>
        <w:jc w:val="center"/>
      </w:pPr>
      <w:r>
        <w:rPr>
          <w:rFonts w:ascii="Times New Roman" w:hAnsi="Times New Roman"/>
          <w:b w:val="0"/>
          <w:i w:val="0"/>
          <w:sz w:val="22"/>
        </w:rPr>
        <w:t>Fig. 7.9 Model calibration curve (reliability diagram)</w:t>
      </w:r>
    </w:p>
    <w:p>
      <w:pPr>
        <w:spacing w:before="200" w:after="80" w:line="276" w:lineRule="auto"/>
        <w:jc w:val="left"/>
      </w:pPr>
      <w:r>
        <w:rPr>
          <w:rFonts w:ascii="Times New Roman" w:hAnsi="Times New Roman"/>
          <w:b/>
          <w:i w:val="0"/>
          <w:sz w:val="28"/>
        </w:rPr>
        <w:t>7.8 Model Calibration &amp; Probability Reliability Analysis</w:t>
      </w:r>
    </w:p>
    <w:p>
      <w:pPr>
        <w:spacing w:before="0" w:after="120" w:line="276" w:lineRule="auto"/>
        <w:jc w:val="both"/>
      </w:pPr>
      <w:r>
        <w:rPr>
          <w:rFonts w:ascii="Times New Roman" w:hAnsi="Times New Roman"/>
          <w:b w:val="0"/>
          <w:i w:val="0"/>
          <w:sz w:val="24"/>
        </w:rPr>
        <w:t>Probability calibration was evaluated via Brier score loss (0.2500) and reliability diagrams. The balanced class-weighting approach shifts predicted probabilities toward the center to ensure sensitivity, reflecting the intentional prioritization of fraud detection over unweighted probabilities.</w:t>
      </w:r>
    </w:p>
    <w:p>
      <w:r>
        <w:br w:type="page"/>
      </w:r>
    </w:p>
    <w:p>
      <w:pPr>
        <w:spacing w:before="80" w:after="40"/>
        <w:jc w:val="center"/>
      </w:pPr>
      <w:r>
        <w:drawing>
          <wp:inline xmlns:a="http://schemas.openxmlformats.org/drawingml/2006/main" xmlns:pic="http://schemas.openxmlformats.org/drawingml/2006/picture">
            <wp:extent cx="4754880" cy="2674620"/>
            <wp:docPr id="25" name="Picture 25"/>
            <wp:cNvGraphicFramePr>
              <a:graphicFrameLocks noChangeAspect="1"/>
            </wp:cNvGraphicFramePr>
            <a:graphic>
              <a:graphicData uri="http://schemas.openxmlformats.org/drawingml/2006/picture">
                <pic:pic>
                  <pic:nvPicPr>
                    <pic:cNvPr id="0" name="fig_6_2_feature_importance.png"/>
                    <pic:cNvPicPr/>
                  </pic:nvPicPr>
                  <pic:blipFill>
                    <a:blip r:embed="rId21"/>
                    <a:stretch>
                      <a:fillRect/>
                    </a:stretch>
                  </pic:blipFill>
                  <pic:spPr>
                    <a:xfrm>
                      <a:off x="0" y="0"/>
                      <a:ext cx="4754880" cy="2674620"/>
                    </a:xfrm>
                    <a:prstGeom prst="rect"/>
                  </pic:spPr>
                </pic:pic>
              </a:graphicData>
            </a:graphic>
          </wp:inline>
        </w:drawing>
      </w:r>
    </w:p>
    <w:p>
      <w:pPr>
        <w:spacing w:before="80" w:after="160" w:line="276" w:lineRule="auto"/>
        <w:jc w:val="center"/>
      </w:pPr>
      <w:r>
        <w:rPr>
          <w:rFonts w:ascii="Times New Roman" w:hAnsi="Times New Roman"/>
          <w:b w:val="0"/>
          <w:i w:val="0"/>
          <w:sz w:val="22"/>
        </w:rPr>
        <w:t>Fig. 7.10 Model feature importance drivers bar chart</w:t>
      </w:r>
    </w:p>
    <w:p>
      <w:pPr>
        <w:spacing w:before="80" w:after="40"/>
        <w:jc w:val="center"/>
      </w:pPr>
      <w:r>
        <w:drawing>
          <wp:inline xmlns:a="http://schemas.openxmlformats.org/drawingml/2006/main" xmlns:pic="http://schemas.openxmlformats.org/drawingml/2006/picture">
            <wp:extent cx="4754880" cy="2517289"/>
            <wp:docPr id="26" name="Picture 26"/>
            <wp:cNvGraphicFramePr>
              <a:graphicFrameLocks noChangeAspect="1"/>
            </wp:cNvGraphicFramePr>
            <a:graphic>
              <a:graphicData uri="http://schemas.openxmlformats.org/drawingml/2006/picture">
                <pic:pic>
                  <pic:nvPicPr>
                    <pic:cNvPr id="0" name="fig_7_11_underwriting_breakdown.png"/>
                    <pic:cNvPicPr/>
                  </pic:nvPicPr>
                  <pic:blipFill>
                    <a:blip r:embed="rId31"/>
                    <a:stretch>
                      <a:fillRect/>
                    </a:stretch>
                  </pic:blipFill>
                  <pic:spPr>
                    <a:xfrm>
                      <a:off x="0" y="0"/>
                      <a:ext cx="4754880" cy="2517289"/>
                    </a:xfrm>
                    <a:prstGeom prst="rect"/>
                  </pic:spPr>
                </pic:pic>
              </a:graphicData>
            </a:graphic>
          </wp:inline>
        </w:drawing>
      </w:r>
    </w:p>
    <w:p>
      <w:pPr>
        <w:spacing w:before="80" w:after="160" w:line="276" w:lineRule="auto"/>
        <w:jc w:val="center"/>
      </w:pPr>
      <w:r>
        <w:rPr>
          <w:rFonts w:ascii="Times New Roman" w:hAnsi="Times New Roman"/>
          <w:b w:val="0"/>
          <w:i w:val="0"/>
          <w:sz w:val="22"/>
        </w:rPr>
        <w:t>Fig. 7.11 Underwriting decision factor breakdown for sample loan application</w:t>
      </w:r>
    </w:p>
    <w:p>
      <w:pPr>
        <w:spacing w:before="200" w:after="80" w:line="276" w:lineRule="auto"/>
        <w:jc w:val="left"/>
      </w:pPr>
      <w:r>
        <w:rPr>
          <w:rFonts w:ascii="Times New Roman" w:hAnsi="Times New Roman"/>
          <w:b/>
          <w:i w:val="0"/>
          <w:sz w:val="28"/>
        </w:rPr>
        <w:t>7.9 Test Cases</w:t>
      </w:r>
    </w:p>
    <w:p>
      <w:pPr>
        <w:spacing w:before="0" w:after="120" w:line="276" w:lineRule="auto"/>
        <w:jc w:val="both"/>
      </w:pPr>
      <w:r>
        <w:rPr>
          <w:rFonts w:ascii="Times New Roman" w:hAnsi="Times New Roman"/>
          <w:b w:val="0"/>
          <w:i w:val="0"/>
          <w:sz w:val="24"/>
        </w:rPr>
        <w:t>The complete LoanGuard-AI underwriting engine was evaluated against six representative borrower archetypes. Table 7.2 summarizes the test case profiles, model predictions, and expected underwriting outcomes.</w:t>
      </w:r>
    </w:p>
    <w:p>
      <w:r>
        <w:br w:type="page"/>
      </w:r>
    </w:p>
    <w:p>
      <w:pPr>
        <w:spacing w:before="160" w:after="60" w:line="276" w:lineRule="auto"/>
        <w:jc w:val="left"/>
      </w:pPr>
      <w:r>
        <w:rPr>
          <w:rFonts w:ascii="Times New Roman" w:hAnsi="Times New Roman"/>
          <w:b/>
          <w:i w:val="0"/>
          <w:sz w:val="24"/>
        </w:rPr>
        <w:t>Table 7.2: Comprehensive Underwriting Test Cases</w:t>
      </w:r>
    </w:p>
    <w:tbl>
      <w:tblPr>
        <w:tblW w:type="auto" w:w="0"/>
        <w:jc w:val="center"/>
        <w:tblLook w:firstColumn="1" w:firstRow="1" w:lastColumn="0" w:lastRow="0" w:noHBand="0" w:noVBand="1" w:val="04A0"/>
        <w:tblBorders>
          <w:top w:val="single" w:sz="4" w:space="0" w:color="666666"/>
          <w:bottom w:val="single" w:sz="4" w:space="0" w:color="666666"/>
          <w:insideH w:val="single" w:sz="4" w:space="0" w:color="666666"/>
          <w:insideV w:val="single" w:sz="4" w:space="0" w:color="666666"/>
          <w:left w:val="single" w:sz="4" w:space="0" w:color="666666"/>
          <w:right w:val="single" w:sz="4" w:space="0" w:color="666666"/>
        </w:tblBorders>
      </w:tblPr>
      <w:tblGrid>
        <w:gridCol w:w="1505"/>
        <w:gridCol w:w="1505"/>
        <w:gridCol w:w="1505"/>
        <w:gridCol w:w="1505"/>
        <w:gridCol w:w="1505"/>
        <w:gridCol w:w="1505"/>
      </w:tblGrid>
      <w:tr>
        <w:tc>
          <w:tcPr>
            <w:tcW w:type="dxa" w:w="864"/>
            <w:shd w:fill="F5F5F5"/>
            <w:tcMar>
              <w:top w:w="25" w:type="dxa"/>
              <w:bottom w:w="25" w:type="dxa"/>
              <w:left w:w="35" w:type="dxa"/>
              <w:right w:w="35" w:type="dxa"/>
            </w:tcMar>
          </w:tcPr>
          <w:p>
            <w:pPr>
              <w:jc w:val="center"/>
            </w:pPr>
            <w:r>
              <w:rPr>
                <w:b/>
              </w:rPr>
              <w:t>ID</w:t>
            </w:r>
          </w:p>
        </w:tc>
        <w:tc>
          <w:tcPr>
            <w:tcW w:type="dxa" w:w="3168"/>
            <w:shd w:fill="F5F5F5"/>
            <w:tcMar>
              <w:top w:w="25" w:type="dxa"/>
              <w:bottom w:w="25" w:type="dxa"/>
              <w:left w:w="35" w:type="dxa"/>
              <w:right w:w="35" w:type="dxa"/>
            </w:tcMar>
          </w:tcPr>
          <w:p>
            <w:pPr>
              <w:jc w:val="left"/>
            </w:pPr>
            <w:r>
              <w:rPr>
                <w:b/>
              </w:rPr>
              <w:t>Applicant Profile (Loan, Income, CIBIL, DTI)</w:t>
            </w:r>
          </w:p>
        </w:tc>
        <w:tc>
          <w:tcPr>
            <w:tcW w:type="dxa" w:w="1296"/>
            <w:shd w:fill="F5F5F5"/>
            <w:tcMar>
              <w:top w:w="25" w:type="dxa"/>
              <w:bottom w:w="25" w:type="dxa"/>
              <w:left w:w="35" w:type="dxa"/>
              <w:right w:w="35" w:type="dxa"/>
            </w:tcMar>
          </w:tcPr>
          <w:p>
            <w:pPr>
              <w:jc w:val="center"/>
            </w:pPr>
            <w:r>
              <w:rPr>
                <w:b/>
              </w:rPr>
              <w:t>Expected</w:t>
            </w:r>
          </w:p>
        </w:tc>
        <w:tc>
          <w:tcPr>
            <w:tcW w:type="dxa" w:w="1152"/>
            <w:shd w:fill="F5F5F5"/>
            <w:tcMar>
              <w:top w:w="25" w:type="dxa"/>
              <w:bottom w:w="25" w:type="dxa"/>
              <w:left w:w="35" w:type="dxa"/>
              <w:right w:w="35" w:type="dxa"/>
            </w:tcMar>
          </w:tcPr>
          <w:p>
            <w:pPr>
              <w:jc w:val="center"/>
            </w:pPr>
            <w:r>
              <w:rPr>
                <w:b/>
              </w:rPr>
              <w:t>Risk Score</w:t>
            </w:r>
          </w:p>
        </w:tc>
        <w:tc>
          <w:tcPr>
            <w:tcW w:type="dxa" w:w="1872"/>
            <w:shd w:fill="F5F5F5"/>
            <w:tcMar>
              <w:top w:w="25" w:type="dxa"/>
              <w:bottom w:w="25" w:type="dxa"/>
              <w:left w:w="35" w:type="dxa"/>
              <w:right w:w="35" w:type="dxa"/>
            </w:tcMar>
          </w:tcPr>
          <w:p>
            <w:pPr>
              <w:jc w:val="left"/>
            </w:pPr>
            <w:r>
              <w:rPr>
                <w:b/>
              </w:rPr>
              <w:t>Predicted Status</w:t>
            </w:r>
          </w:p>
        </w:tc>
        <w:tc>
          <w:tcPr>
            <w:tcW w:type="dxa" w:w="864"/>
            <w:shd w:fill="F5F5F5"/>
            <w:tcMar>
              <w:top w:w="25" w:type="dxa"/>
              <w:bottom w:w="25" w:type="dxa"/>
              <w:left w:w="35" w:type="dxa"/>
              <w:right w:w="35" w:type="dxa"/>
            </w:tcMar>
          </w:tcPr>
          <w:p>
            <w:pPr>
              <w:jc w:val="center"/>
            </w:pPr>
            <w:r>
              <w:rPr>
                <w:b/>
              </w:rPr>
              <w:t>Result</w:t>
            </w:r>
          </w:p>
        </w:tc>
      </w:tr>
      <w:tr>
        <w:tc>
          <w:tcPr>
            <w:tcW w:type="dxa" w:w="864"/>
            <w:tcMar>
              <w:top w:w="25" w:type="dxa"/>
              <w:bottom w:w="25" w:type="dxa"/>
              <w:left w:w="35" w:type="dxa"/>
              <w:right w:w="35" w:type="dxa"/>
            </w:tcMar>
          </w:tcPr>
          <w:p>
            <w:pPr>
              <w:jc w:val="center"/>
            </w:pPr>
            <w:r>
              <w:t>TC1</w:t>
            </w:r>
          </w:p>
        </w:tc>
        <w:tc>
          <w:tcPr>
            <w:tcW w:type="dxa" w:w="3168"/>
            <w:tcMar>
              <w:top w:w="25" w:type="dxa"/>
              <w:bottom w:w="25" w:type="dxa"/>
              <w:left w:w="35" w:type="dxa"/>
              <w:right w:w="35" w:type="dxa"/>
            </w:tcMar>
          </w:tcPr>
          <w:p>
            <w:pPr>
              <w:jc w:val="left"/>
            </w:pPr>
            <w:r>
              <w:t>Prime Borrower ($350k, $45k/mo, 760, 22%)</w:t>
            </w:r>
          </w:p>
        </w:tc>
        <w:tc>
          <w:tcPr>
            <w:tcW w:type="dxa" w:w="1296"/>
            <w:tcMar>
              <w:top w:w="25" w:type="dxa"/>
              <w:bottom w:w="25" w:type="dxa"/>
              <w:left w:w="35" w:type="dxa"/>
              <w:right w:w="35" w:type="dxa"/>
            </w:tcMar>
          </w:tcPr>
          <w:p>
            <w:pPr>
              <w:jc w:val="center"/>
            </w:pPr>
            <w:r>
              <w:t>Legitimate</w:t>
            </w:r>
          </w:p>
        </w:tc>
        <w:tc>
          <w:tcPr>
            <w:tcW w:type="dxa" w:w="1152"/>
            <w:tcMar>
              <w:top w:w="25" w:type="dxa"/>
              <w:bottom w:w="25" w:type="dxa"/>
              <w:left w:w="35" w:type="dxa"/>
              <w:right w:w="35" w:type="dxa"/>
            </w:tcMar>
          </w:tcPr>
          <w:p>
            <w:pPr>
              <w:jc w:val="center"/>
            </w:pPr>
            <w:r>
              <w:t>12%</w:t>
            </w:r>
          </w:p>
        </w:tc>
        <w:tc>
          <w:tcPr>
            <w:tcW w:type="dxa" w:w="1872"/>
            <w:tcMar>
              <w:top w:w="25" w:type="dxa"/>
              <w:bottom w:w="25" w:type="dxa"/>
              <w:left w:w="35" w:type="dxa"/>
              <w:right w:w="35" w:type="dxa"/>
            </w:tcMar>
          </w:tcPr>
          <w:p>
            <w:pPr>
              <w:jc w:val="left"/>
            </w:pPr>
            <w:r>
              <w:t>Clear: Legitimate</w:t>
            </w:r>
          </w:p>
        </w:tc>
        <w:tc>
          <w:tcPr>
            <w:tcW w:type="dxa" w:w="864"/>
            <w:tcMar>
              <w:top w:w="25" w:type="dxa"/>
              <w:bottom w:w="25" w:type="dxa"/>
              <w:left w:w="35" w:type="dxa"/>
              <w:right w:w="35" w:type="dxa"/>
            </w:tcMar>
          </w:tcPr>
          <w:p>
            <w:pPr>
              <w:jc w:val="center"/>
            </w:pPr>
            <w:r>
              <w:t>Pass</w:t>
            </w:r>
          </w:p>
        </w:tc>
      </w:tr>
      <w:tr>
        <w:tc>
          <w:tcPr>
            <w:tcW w:type="dxa" w:w="864"/>
            <w:tcMar>
              <w:top w:w="25" w:type="dxa"/>
              <w:bottom w:w="25" w:type="dxa"/>
              <w:left w:w="35" w:type="dxa"/>
              <w:right w:w="35" w:type="dxa"/>
            </w:tcMar>
          </w:tcPr>
          <w:p>
            <w:pPr>
              <w:jc w:val="center"/>
            </w:pPr>
            <w:r>
              <w:t>TC2</w:t>
            </w:r>
          </w:p>
        </w:tc>
        <w:tc>
          <w:tcPr>
            <w:tcW w:type="dxa" w:w="3168"/>
            <w:tcMar>
              <w:top w:w="25" w:type="dxa"/>
              <w:bottom w:w="25" w:type="dxa"/>
              <w:left w:w="35" w:type="dxa"/>
              <w:right w:w="35" w:type="dxa"/>
            </w:tcMar>
          </w:tcPr>
          <w:p>
            <w:pPr>
              <w:jc w:val="left"/>
            </w:pPr>
            <w:r>
              <w:t>Subprime / Fraud ($1.2M, $15k/mo, 480, 65%)</w:t>
            </w:r>
          </w:p>
        </w:tc>
        <w:tc>
          <w:tcPr>
            <w:tcW w:type="dxa" w:w="1296"/>
            <w:tcMar>
              <w:top w:w="25" w:type="dxa"/>
              <w:bottom w:w="25" w:type="dxa"/>
              <w:left w:w="35" w:type="dxa"/>
              <w:right w:w="35" w:type="dxa"/>
            </w:tcMar>
          </w:tcPr>
          <w:p>
            <w:pPr>
              <w:jc w:val="center"/>
            </w:pPr>
            <w:r>
              <w:t>Fraudulent</w:t>
            </w:r>
          </w:p>
        </w:tc>
        <w:tc>
          <w:tcPr>
            <w:tcW w:type="dxa" w:w="1152"/>
            <w:tcMar>
              <w:top w:w="25" w:type="dxa"/>
              <w:bottom w:w="25" w:type="dxa"/>
              <w:left w:w="35" w:type="dxa"/>
              <w:right w:w="35" w:type="dxa"/>
            </w:tcMar>
          </w:tcPr>
          <w:p>
            <w:pPr>
              <w:jc w:val="center"/>
            </w:pPr>
            <w:r>
              <w:t>88%</w:t>
            </w:r>
          </w:p>
        </w:tc>
        <w:tc>
          <w:tcPr>
            <w:tcW w:type="dxa" w:w="1872"/>
            <w:tcMar>
              <w:top w:w="25" w:type="dxa"/>
              <w:bottom w:w="25" w:type="dxa"/>
              <w:left w:w="35" w:type="dxa"/>
              <w:right w:w="35" w:type="dxa"/>
            </w:tcMar>
          </w:tcPr>
          <w:p>
            <w:pPr>
              <w:jc w:val="left"/>
            </w:pPr>
            <w:r>
              <w:t>Flagged: High Risk</w:t>
            </w:r>
          </w:p>
        </w:tc>
        <w:tc>
          <w:tcPr>
            <w:tcW w:type="dxa" w:w="864"/>
            <w:tcMar>
              <w:top w:w="25" w:type="dxa"/>
              <w:bottom w:w="25" w:type="dxa"/>
              <w:left w:w="35" w:type="dxa"/>
              <w:right w:w="35" w:type="dxa"/>
            </w:tcMar>
          </w:tcPr>
          <w:p>
            <w:pPr>
              <w:jc w:val="center"/>
            </w:pPr>
            <w:r>
              <w:t>Pass</w:t>
            </w:r>
          </w:p>
        </w:tc>
      </w:tr>
      <w:tr>
        <w:tc>
          <w:tcPr>
            <w:tcW w:type="dxa" w:w="864"/>
            <w:tcMar>
              <w:top w:w="25" w:type="dxa"/>
              <w:bottom w:w="25" w:type="dxa"/>
              <w:left w:w="35" w:type="dxa"/>
              <w:right w:w="35" w:type="dxa"/>
            </w:tcMar>
          </w:tcPr>
          <w:p>
            <w:pPr>
              <w:jc w:val="center"/>
            </w:pPr>
            <w:r>
              <w:t>TC3</w:t>
            </w:r>
          </w:p>
        </w:tc>
        <w:tc>
          <w:tcPr>
            <w:tcW w:type="dxa" w:w="3168"/>
            <w:tcMar>
              <w:top w:w="25" w:type="dxa"/>
              <w:bottom w:w="25" w:type="dxa"/>
              <w:left w:w="35" w:type="dxa"/>
              <w:right w:w="35" w:type="dxa"/>
            </w:tcMar>
          </w:tcPr>
          <w:p>
            <w:pPr>
              <w:jc w:val="left"/>
            </w:pPr>
            <w:r>
              <w:t>Elevated Leverage ($650k, $25k/mo, 630, 38%)</w:t>
            </w:r>
          </w:p>
        </w:tc>
        <w:tc>
          <w:tcPr>
            <w:tcW w:type="dxa" w:w="1296"/>
            <w:tcMar>
              <w:top w:w="25" w:type="dxa"/>
              <w:bottom w:w="25" w:type="dxa"/>
              <w:left w:w="35" w:type="dxa"/>
              <w:right w:w="35" w:type="dxa"/>
            </w:tcMar>
          </w:tcPr>
          <w:p>
            <w:pPr>
              <w:jc w:val="center"/>
            </w:pPr>
            <w:r>
              <w:t>Moderate</w:t>
            </w:r>
          </w:p>
        </w:tc>
        <w:tc>
          <w:tcPr>
            <w:tcW w:type="dxa" w:w="1152"/>
            <w:tcMar>
              <w:top w:w="25" w:type="dxa"/>
              <w:bottom w:w="25" w:type="dxa"/>
              <w:left w:w="35" w:type="dxa"/>
              <w:right w:w="35" w:type="dxa"/>
            </w:tcMar>
          </w:tcPr>
          <w:p>
            <w:pPr>
              <w:jc w:val="center"/>
            </w:pPr>
            <w:r>
              <w:t>48%</w:t>
            </w:r>
          </w:p>
        </w:tc>
        <w:tc>
          <w:tcPr>
            <w:tcW w:type="dxa" w:w="1872"/>
            <w:tcMar>
              <w:top w:w="25" w:type="dxa"/>
              <w:bottom w:w="25" w:type="dxa"/>
              <w:left w:w="35" w:type="dxa"/>
              <w:right w:w="35" w:type="dxa"/>
            </w:tcMar>
          </w:tcPr>
          <w:p>
            <w:pPr>
              <w:jc w:val="left"/>
            </w:pPr>
            <w:r>
              <w:t>Caution: Moderate Risk</w:t>
            </w:r>
          </w:p>
        </w:tc>
        <w:tc>
          <w:tcPr>
            <w:tcW w:type="dxa" w:w="864"/>
            <w:tcMar>
              <w:top w:w="25" w:type="dxa"/>
              <w:bottom w:w="25" w:type="dxa"/>
              <w:left w:w="35" w:type="dxa"/>
              <w:right w:w="35" w:type="dxa"/>
            </w:tcMar>
          </w:tcPr>
          <w:p>
            <w:pPr>
              <w:jc w:val="center"/>
            </w:pPr>
            <w:r>
              <w:t>Pass</w:t>
            </w:r>
          </w:p>
        </w:tc>
      </w:tr>
      <w:tr>
        <w:tc>
          <w:tcPr>
            <w:tcW w:type="dxa" w:w="864"/>
            <w:tcMar>
              <w:top w:w="25" w:type="dxa"/>
              <w:bottom w:w="25" w:type="dxa"/>
              <w:left w:w="35" w:type="dxa"/>
              <w:right w:w="35" w:type="dxa"/>
            </w:tcMar>
          </w:tcPr>
          <w:p>
            <w:pPr>
              <w:jc w:val="center"/>
            </w:pPr>
            <w:r>
              <w:t>TC4</w:t>
            </w:r>
          </w:p>
        </w:tc>
        <w:tc>
          <w:tcPr>
            <w:tcW w:type="dxa" w:w="3168"/>
            <w:tcMar>
              <w:top w:w="25" w:type="dxa"/>
              <w:bottom w:w="25" w:type="dxa"/>
              <w:left w:w="35" w:type="dxa"/>
              <w:right w:w="35" w:type="dxa"/>
            </w:tcMar>
          </w:tcPr>
          <w:p>
            <w:pPr>
              <w:jc w:val="left"/>
            </w:pPr>
            <w:r>
              <w:t>Over-Indebted ($400k, $30k/mo, 690, 58%)</w:t>
            </w:r>
          </w:p>
        </w:tc>
        <w:tc>
          <w:tcPr>
            <w:tcW w:type="dxa" w:w="1296"/>
            <w:tcMar>
              <w:top w:w="25" w:type="dxa"/>
              <w:bottom w:w="25" w:type="dxa"/>
              <w:left w:w="35" w:type="dxa"/>
              <w:right w:w="35" w:type="dxa"/>
            </w:tcMar>
          </w:tcPr>
          <w:p>
            <w:pPr>
              <w:jc w:val="center"/>
            </w:pPr>
            <w:r>
              <w:t>High DTI</w:t>
            </w:r>
          </w:p>
        </w:tc>
        <w:tc>
          <w:tcPr>
            <w:tcW w:type="dxa" w:w="1152"/>
            <w:tcMar>
              <w:top w:w="25" w:type="dxa"/>
              <w:bottom w:w="25" w:type="dxa"/>
              <w:left w:w="35" w:type="dxa"/>
              <w:right w:w="35" w:type="dxa"/>
            </w:tcMar>
          </w:tcPr>
          <w:p>
            <w:pPr>
              <w:jc w:val="center"/>
            </w:pPr>
            <w:r>
              <w:t>72%</w:t>
            </w:r>
          </w:p>
        </w:tc>
        <w:tc>
          <w:tcPr>
            <w:tcW w:type="dxa" w:w="1872"/>
            <w:tcMar>
              <w:top w:w="25" w:type="dxa"/>
              <w:bottom w:w="25" w:type="dxa"/>
              <w:left w:w="35" w:type="dxa"/>
              <w:right w:w="35" w:type="dxa"/>
            </w:tcMar>
          </w:tcPr>
          <w:p>
            <w:pPr>
              <w:jc w:val="left"/>
            </w:pPr>
            <w:r>
              <w:t>Flagged: High Risk</w:t>
            </w:r>
          </w:p>
        </w:tc>
        <w:tc>
          <w:tcPr>
            <w:tcW w:type="dxa" w:w="864"/>
            <w:tcMar>
              <w:top w:w="25" w:type="dxa"/>
              <w:bottom w:w="25" w:type="dxa"/>
              <w:left w:w="35" w:type="dxa"/>
              <w:right w:w="35" w:type="dxa"/>
            </w:tcMar>
          </w:tcPr>
          <w:p>
            <w:pPr>
              <w:jc w:val="center"/>
            </w:pPr>
            <w:r>
              <w:t>Pass</w:t>
            </w:r>
          </w:p>
        </w:tc>
      </w:tr>
      <w:tr>
        <w:tc>
          <w:tcPr>
            <w:tcW w:type="dxa" w:w="864"/>
            <w:tcMar>
              <w:top w:w="25" w:type="dxa"/>
              <w:bottom w:w="25" w:type="dxa"/>
              <w:left w:w="35" w:type="dxa"/>
              <w:right w:w="35" w:type="dxa"/>
            </w:tcMar>
          </w:tcPr>
          <w:p>
            <w:pPr>
              <w:jc w:val="center"/>
            </w:pPr>
            <w:r>
              <w:t>TC5</w:t>
            </w:r>
          </w:p>
        </w:tc>
        <w:tc>
          <w:tcPr>
            <w:tcW w:type="dxa" w:w="3168"/>
            <w:tcMar>
              <w:top w:w="25" w:type="dxa"/>
              <w:bottom w:w="25" w:type="dxa"/>
              <w:left w:w="35" w:type="dxa"/>
              <w:right w:w="35" w:type="dxa"/>
            </w:tcMar>
          </w:tcPr>
          <w:p>
            <w:pPr>
              <w:jc w:val="left"/>
            </w:pPr>
            <w:r>
              <w:t>Conservative Tier ($120k, $35k/mo, 780, 18%)</w:t>
            </w:r>
          </w:p>
        </w:tc>
        <w:tc>
          <w:tcPr>
            <w:tcW w:type="dxa" w:w="1296"/>
            <w:tcMar>
              <w:top w:w="25" w:type="dxa"/>
              <w:bottom w:w="25" w:type="dxa"/>
              <w:left w:w="35" w:type="dxa"/>
              <w:right w:w="35" w:type="dxa"/>
            </w:tcMar>
          </w:tcPr>
          <w:p>
            <w:pPr>
              <w:jc w:val="center"/>
            </w:pPr>
            <w:r>
              <w:t>Legitimate</w:t>
            </w:r>
          </w:p>
        </w:tc>
        <w:tc>
          <w:tcPr>
            <w:tcW w:type="dxa" w:w="1152"/>
            <w:tcMar>
              <w:top w:w="25" w:type="dxa"/>
              <w:bottom w:w="25" w:type="dxa"/>
              <w:left w:w="35" w:type="dxa"/>
              <w:right w:w="35" w:type="dxa"/>
            </w:tcMar>
          </w:tcPr>
          <w:p>
            <w:pPr>
              <w:jc w:val="center"/>
            </w:pPr>
            <w:r>
              <w:t>10%</w:t>
            </w:r>
          </w:p>
        </w:tc>
        <w:tc>
          <w:tcPr>
            <w:tcW w:type="dxa" w:w="1872"/>
            <w:tcMar>
              <w:top w:w="25" w:type="dxa"/>
              <w:bottom w:w="25" w:type="dxa"/>
              <w:left w:w="35" w:type="dxa"/>
              <w:right w:w="35" w:type="dxa"/>
            </w:tcMar>
          </w:tcPr>
          <w:p>
            <w:pPr>
              <w:jc w:val="left"/>
            </w:pPr>
            <w:r>
              <w:t>Clear: Legitimate</w:t>
            </w:r>
          </w:p>
        </w:tc>
        <w:tc>
          <w:tcPr>
            <w:tcW w:type="dxa" w:w="864"/>
            <w:tcMar>
              <w:top w:w="25" w:type="dxa"/>
              <w:bottom w:w="25" w:type="dxa"/>
              <w:left w:w="35" w:type="dxa"/>
              <w:right w:w="35" w:type="dxa"/>
            </w:tcMar>
          </w:tcPr>
          <w:p>
            <w:pPr>
              <w:jc w:val="center"/>
            </w:pPr>
            <w:r>
              <w:t>Pass</w:t>
            </w:r>
          </w:p>
        </w:tc>
      </w:tr>
      <w:tr>
        <w:tc>
          <w:tcPr>
            <w:tcW w:type="dxa" w:w="864"/>
            <w:tcMar>
              <w:top w:w="25" w:type="dxa"/>
              <w:bottom w:w="25" w:type="dxa"/>
              <w:left w:w="35" w:type="dxa"/>
              <w:right w:w="35" w:type="dxa"/>
            </w:tcMar>
          </w:tcPr>
          <w:p>
            <w:pPr>
              <w:jc w:val="center"/>
            </w:pPr>
            <w:r>
              <w:t>TC6</w:t>
            </w:r>
          </w:p>
        </w:tc>
        <w:tc>
          <w:tcPr>
            <w:tcW w:type="dxa" w:w="3168"/>
            <w:tcMar>
              <w:top w:w="25" w:type="dxa"/>
              <w:bottom w:w="25" w:type="dxa"/>
              <w:left w:w="35" w:type="dxa"/>
              <w:right w:w="35" w:type="dxa"/>
            </w:tcMar>
          </w:tcPr>
          <w:p>
            <w:pPr>
              <w:jc w:val="left"/>
            </w:pPr>
            <w:r>
              <w:t>Extreme Capital Risk ($1.8M, $18k/mo, 410, 72%)</w:t>
            </w:r>
          </w:p>
        </w:tc>
        <w:tc>
          <w:tcPr>
            <w:tcW w:type="dxa" w:w="1296"/>
            <w:tcMar>
              <w:top w:w="25" w:type="dxa"/>
              <w:bottom w:w="25" w:type="dxa"/>
              <w:left w:w="35" w:type="dxa"/>
              <w:right w:w="35" w:type="dxa"/>
            </w:tcMar>
          </w:tcPr>
          <w:p>
            <w:pPr>
              <w:jc w:val="center"/>
            </w:pPr>
            <w:r>
              <w:t>Fraudulent</w:t>
            </w:r>
          </w:p>
        </w:tc>
        <w:tc>
          <w:tcPr>
            <w:tcW w:type="dxa" w:w="1152"/>
            <w:tcMar>
              <w:top w:w="25" w:type="dxa"/>
              <w:bottom w:w="25" w:type="dxa"/>
              <w:left w:w="35" w:type="dxa"/>
              <w:right w:w="35" w:type="dxa"/>
            </w:tcMar>
          </w:tcPr>
          <w:p>
            <w:pPr>
              <w:jc w:val="center"/>
            </w:pPr>
            <w:r>
              <w:t>95%</w:t>
            </w:r>
          </w:p>
        </w:tc>
        <w:tc>
          <w:tcPr>
            <w:tcW w:type="dxa" w:w="1872"/>
            <w:tcMar>
              <w:top w:w="25" w:type="dxa"/>
              <w:bottom w:w="25" w:type="dxa"/>
              <w:left w:w="35" w:type="dxa"/>
              <w:right w:w="35" w:type="dxa"/>
            </w:tcMar>
          </w:tcPr>
          <w:p>
            <w:pPr>
              <w:jc w:val="left"/>
            </w:pPr>
            <w:r>
              <w:t>Flagged: High Risk</w:t>
            </w:r>
          </w:p>
        </w:tc>
        <w:tc>
          <w:tcPr>
            <w:tcW w:type="dxa" w:w="864"/>
            <w:tcMar>
              <w:top w:w="25" w:type="dxa"/>
              <w:bottom w:w="25" w:type="dxa"/>
              <w:left w:w="35" w:type="dxa"/>
              <w:right w:w="35" w:type="dxa"/>
            </w:tcMar>
          </w:tcPr>
          <w:p>
            <w:pPr>
              <w:jc w:val="center"/>
            </w:pPr>
            <w:r>
              <w:t>Pass</w:t>
            </w:r>
          </w:p>
        </w:tc>
      </w:tr>
    </w:tbl>
    <w:p>
      <w:pPr>
        <w:spacing w:before="200" w:after="80" w:line="276" w:lineRule="auto"/>
        <w:jc w:val="left"/>
      </w:pPr>
      <w:r>
        <w:rPr>
          <w:rFonts w:ascii="Times New Roman" w:hAnsi="Times New Roman"/>
          <w:b/>
          <w:i w:val="0"/>
          <w:sz w:val="28"/>
        </w:rPr>
        <w:t>7.10 Key Findings &amp; Discussion</w:t>
      </w:r>
    </w:p>
    <w:p>
      <w:pPr>
        <w:spacing w:before="0" w:after="120" w:line="276" w:lineRule="auto"/>
        <w:jc w:val="both"/>
      </w:pPr>
      <w:r>
        <w:rPr>
          <w:rFonts w:ascii="Times New Roman" w:hAnsi="Times New Roman"/>
          <w:b w:val="0"/>
          <w:i w:val="0"/>
          <w:sz w:val="24"/>
        </w:rPr>
        <w:t>• Cost-Sensitive Class Weighting is Essential: Unweighted models collapse to 98% accuracy with 0% fraud recall. Balanced class weighting enables the model to intercept 45.85% of all fraud.</w:t>
      </w:r>
    </w:p>
    <w:p>
      <w:pPr>
        <w:spacing w:before="0" w:after="120" w:line="276" w:lineRule="auto"/>
        <w:jc w:val="both"/>
      </w:pPr>
      <w:r>
        <w:rPr>
          <w:rFonts w:ascii="Times New Roman" w:hAnsi="Times New Roman"/>
          <w:b w:val="0"/>
          <w:i w:val="0"/>
          <w:sz w:val="24"/>
        </w:rPr>
        <w:t>• Substantial Commercial Value: Intercepting 94 fraudulent loans prevented an estimated $3.29 million in direct charge-off losses, yielding $2.58 million in net savings after accounting for review costs.</w:t>
      </w:r>
    </w:p>
    <w:p>
      <w:pPr>
        <w:spacing w:before="0" w:after="120" w:line="276" w:lineRule="auto"/>
        <w:jc w:val="both"/>
      </w:pPr>
      <w:r>
        <w:rPr>
          <w:rFonts w:ascii="Times New Roman" w:hAnsi="Times New Roman"/>
          <w:b w:val="0"/>
          <w:i w:val="0"/>
          <w:sz w:val="24"/>
        </w:rPr>
        <w:t>• Debt Burden and Credit Score Drive Risk: Elevated DTI (&gt;40%) and subprime CIBIL scores (&lt;580) are the strongest linear and non-linear risk drivers.</w:t>
      </w:r>
    </w:p>
    <w:p>
      <w:pPr>
        <w:spacing w:before="0" w:after="120" w:line="276" w:lineRule="auto"/>
        <w:jc w:val="both"/>
      </w:pPr>
      <w:r>
        <w:rPr>
          <w:rFonts w:ascii="Times New Roman" w:hAnsi="Times New Roman"/>
          <w:b w:val="0"/>
          <w:i w:val="0"/>
          <w:sz w:val="24"/>
        </w:rPr>
        <w:t>• Tunable Decision Thresholds: Financial institutions can calibrate thresholds (0.30 vs 0.50 vs 0.70) to align with specific audit capacity and risk tolerance.</w:t>
      </w:r>
    </w:p>
    <w:p>
      <w:pPr>
        <w:spacing w:before="0" w:after="120" w:line="276" w:lineRule="auto"/>
        <w:jc w:val="both"/>
      </w:pPr>
      <w:r>
        <w:rPr>
          <w:rFonts w:ascii="Times New Roman" w:hAnsi="Times New Roman"/>
          <w:b w:val="0"/>
          <w:i w:val="0"/>
          <w:sz w:val="24"/>
        </w:rPr>
        <w:t>• Explainability Builds Underwriter Trust: Decomposing risk scores into specific factor penalties overcomes black-box barriers in credit committees.</w:t>
      </w:r>
    </w:p>
    <w:p>
      <w:pPr>
        <w:spacing w:before="0" w:after="120" w:line="276" w:lineRule="auto"/>
        <w:jc w:val="both"/>
      </w:pPr>
      <w:r>
        <w:rPr>
          <w:rFonts w:ascii="Times New Roman" w:hAnsi="Times New Roman"/>
          <w:b w:val="0"/>
          <w:i w:val="0"/>
          <w:sz w:val="24"/>
        </w:rPr>
        <w:t>• Precision vs. Recall Tradeoff: In rare-event fraud (2.05%), high recall necessitates accepting lower precision, confirming the necessity of two-tier underwriting.</w:t>
      </w:r>
    </w:p>
    <w:p>
      <w:r>
        <w:br w:type="page"/>
      </w:r>
    </w:p>
    <w:p>
      <w:pPr>
        <w:spacing w:before="200" w:after="40" w:line="276" w:lineRule="auto"/>
        <w:jc w:val="center"/>
      </w:pPr>
      <w:r>
        <w:rPr>
          <w:rFonts w:ascii="Times New Roman" w:hAnsi="Times New Roman"/>
          <w:b/>
          <w:i w:val="0"/>
          <w:sz w:val="28"/>
        </w:rPr>
        <w:t>CHAPTER 8</w:t>
      </w:r>
    </w:p>
    <w:p>
      <w:pPr>
        <w:spacing w:before="0" w:after="280" w:line="276" w:lineRule="auto"/>
        <w:jc w:val="center"/>
      </w:pPr>
      <w:r>
        <w:rPr>
          <w:rFonts w:ascii="Times New Roman" w:hAnsi="Times New Roman"/>
          <w:b/>
          <w:i w:val="0"/>
          <w:sz w:val="28"/>
        </w:rPr>
        <w:t>OUTPUT SCREENS</w:t>
      </w:r>
    </w:p>
    <w:p>
      <w:pPr>
        <w:spacing w:before="0" w:after="120" w:line="276" w:lineRule="auto"/>
        <w:jc w:val="both"/>
      </w:pPr>
      <w:r>
        <w:rPr>
          <w:rFonts w:ascii="Times New Roman" w:hAnsi="Times New Roman"/>
          <w:b w:val="0"/>
          <w:i w:val="0"/>
          <w:sz w:val="24"/>
        </w:rPr>
        <w:t>This chapter presents the actual operational screens of the LoanGuard-AI platform. The Streamlit web application is launched via the command terminal (Figure 8.1) and rendered locally in any modern web browser at http://localhost:8501.</w:t>
      </w:r>
    </w:p>
    <w:p>
      <w:pPr>
        <w:spacing w:before="80" w:after="40"/>
        <w:jc w:val="center"/>
      </w:pPr>
      <w:r>
        <w:drawing>
          <wp:inline xmlns:a="http://schemas.openxmlformats.org/drawingml/2006/main" xmlns:pic="http://schemas.openxmlformats.org/drawingml/2006/picture">
            <wp:extent cx="4206240" cy="2078377"/>
            <wp:docPr id="27" name="Picture 27"/>
            <wp:cNvGraphicFramePr>
              <a:graphicFrameLocks noChangeAspect="1"/>
            </wp:cNvGraphicFramePr>
            <a:graphic>
              <a:graphicData uri="http://schemas.openxmlformats.org/drawingml/2006/picture">
                <pic:pic>
                  <pic:nvPicPr>
                    <pic:cNvPr id="0" name="fig_8_1_streamlit_launch.png"/>
                    <pic:cNvPicPr/>
                  </pic:nvPicPr>
                  <pic:blipFill>
                    <a:blip r:embed="rId32"/>
                    <a:stretch>
                      <a:fillRect/>
                    </a:stretch>
                  </pic:blipFill>
                  <pic:spPr>
                    <a:xfrm>
                      <a:off x="0" y="0"/>
                      <a:ext cx="4206240" cy="2078377"/>
                    </a:xfrm>
                    <a:prstGeom prst="rect"/>
                  </pic:spPr>
                </pic:pic>
              </a:graphicData>
            </a:graphic>
          </wp:inline>
        </w:drawing>
      </w:r>
    </w:p>
    <w:p>
      <w:pPr>
        <w:spacing w:before="80" w:after="160" w:line="276" w:lineRule="auto"/>
        <w:jc w:val="center"/>
      </w:pPr>
      <w:r>
        <w:rPr>
          <w:rFonts w:ascii="Times New Roman" w:hAnsi="Times New Roman"/>
          <w:b w:val="0"/>
          <w:i w:val="0"/>
          <w:sz w:val="22"/>
        </w:rPr>
        <w:t>Fig. 8.1 Starting the Streamlit web application</w:t>
      </w:r>
    </w:p>
    <w:p>
      <w:pPr>
        <w:spacing w:before="80" w:after="40"/>
        <w:jc w:val="center"/>
      </w:pPr>
      <w:r>
        <w:drawing>
          <wp:inline xmlns:a="http://schemas.openxmlformats.org/drawingml/2006/main" xmlns:pic="http://schemas.openxmlformats.org/drawingml/2006/picture">
            <wp:extent cx="4023360" cy="3781958"/>
            <wp:docPr id="28" name="Picture 28"/>
            <wp:cNvGraphicFramePr>
              <a:graphicFrameLocks noChangeAspect="1"/>
            </wp:cNvGraphicFramePr>
            <a:graphic>
              <a:graphicData uri="http://schemas.openxmlformats.org/drawingml/2006/picture">
                <pic:pic>
                  <pic:nvPicPr>
                    <pic:cNvPr id="0" name="fig_8_2_app_low_risk.png"/>
                    <pic:cNvPicPr/>
                  </pic:nvPicPr>
                  <pic:blipFill>
                    <a:blip r:embed="rId33"/>
                    <a:stretch>
                      <a:fillRect/>
                    </a:stretch>
                  </pic:blipFill>
                  <pic:spPr>
                    <a:xfrm>
                      <a:off x="0" y="0"/>
                      <a:ext cx="4023360" cy="3781958"/>
                    </a:xfrm>
                    <a:prstGeom prst="rect"/>
                  </pic:spPr>
                </pic:pic>
              </a:graphicData>
            </a:graphic>
          </wp:inline>
        </w:drawing>
      </w:r>
    </w:p>
    <w:p>
      <w:pPr>
        <w:spacing w:before="80" w:after="160" w:line="276" w:lineRule="auto"/>
        <w:jc w:val="center"/>
      </w:pPr>
      <w:r>
        <w:rPr>
          <w:rFonts w:ascii="Times New Roman" w:hAnsi="Times New Roman"/>
          <w:b w:val="0"/>
          <w:i w:val="0"/>
          <w:sz w:val="22"/>
        </w:rPr>
        <w:t>Fig. 8.2 Streamlit web app: Clear / Low-Risk application evaluation</w:t>
      </w:r>
    </w:p>
    <w:p>
      <w:pPr>
        <w:spacing w:before="0" w:after="120" w:line="276" w:lineRule="auto"/>
        <w:jc w:val="both"/>
      </w:pPr>
      <w:r>
        <w:rPr>
          <w:rFonts w:ascii="Times New Roman" w:hAnsi="Times New Roman"/>
          <w:b w:val="0"/>
          <w:i w:val="0"/>
          <w:sz w:val="24"/>
        </w:rPr>
        <w:t>Figure 8.2 illustrates the evaluation of a creditworthy borrower profile (Loan: $350k, Monthly Income: $45k, CIBIL: 760, DTI: 22%). The platform assigns a Fraud Risk Score of 12% with a green Clear: Legitimate Application status badge and favorable credit indicators.</w:t>
      </w:r>
    </w:p>
    <w:p>
      <w:r>
        <w:br w:type="page"/>
      </w:r>
    </w:p>
    <w:p>
      <w:pPr>
        <w:spacing w:before="80" w:after="40"/>
        <w:jc w:val="center"/>
      </w:pPr>
      <w:r>
        <w:drawing>
          <wp:inline xmlns:a="http://schemas.openxmlformats.org/drawingml/2006/main" xmlns:pic="http://schemas.openxmlformats.org/drawingml/2006/picture">
            <wp:extent cx="4023360" cy="3781958"/>
            <wp:docPr id="29" name="Picture 29"/>
            <wp:cNvGraphicFramePr>
              <a:graphicFrameLocks noChangeAspect="1"/>
            </wp:cNvGraphicFramePr>
            <a:graphic>
              <a:graphicData uri="http://schemas.openxmlformats.org/drawingml/2006/picture">
                <pic:pic>
                  <pic:nvPicPr>
                    <pic:cNvPr id="0" name="fig_8_3_app_high_risk.png"/>
                    <pic:cNvPicPr/>
                  </pic:nvPicPr>
                  <pic:blipFill>
                    <a:blip r:embed="rId34"/>
                    <a:stretch>
                      <a:fillRect/>
                    </a:stretch>
                  </pic:blipFill>
                  <pic:spPr>
                    <a:xfrm>
                      <a:off x="0" y="0"/>
                      <a:ext cx="4023360" cy="3781958"/>
                    </a:xfrm>
                    <a:prstGeom prst="rect"/>
                  </pic:spPr>
                </pic:pic>
              </a:graphicData>
            </a:graphic>
          </wp:inline>
        </w:drawing>
      </w:r>
    </w:p>
    <w:p>
      <w:pPr>
        <w:spacing w:before="80" w:after="160" w:line="276" w:lineRule="auto"/>
        <w:jc w:val="center"/>
      </w:pPr>
      <w:r>
        <w:rPr>
          <w:rFonts w:ascii="Times New Roman" w:hAnsi="Times New Roman"/>
          <w:b w:val="0"/>
          <w:i w:val="0"/>
          <w:sz w:val="22"/>
        </w:rPr>
        <w:t>Fig. 8.3 Streamlit web app: Flagged high fraud risk application with risk drivers</w:t>
      </w:r>
    </w:p>
    <w:p>
      <w:pPr>
        <w:spacing w:before="0" w:after="120" w:line="276" w:lineRule="auto"/>
        <w:jc w:val="both"/>
      </w:pPr>
      <w:r>
        <w:rPr>
          <w:rFonts w:ascii="Times New Roman" w:hAnsi="Times New Roman"/>
          <w:b w:val="0"/>
          <w:i w:val="0"/>
          <w:sz w:val="24"/>
        </w:rPr>
        <w:t>Figure 8.3 displays the evaluation of a high-risk applicant requesting $1,200,000 on $15,000 monthly earnings with a subprime 480 CIBIL score and 65% DTI ratio. The system assigns a Fraud Risk Score of 88% and activates a prominent red Flagged: High Fraud Risk banner itemizing adverse factors: severe debt burden (&gt;40%), subprime delinquency history, and extreme loan leverage (6.7x annual earnings).</w:t>
      </w:r>
    </w:p>
    <w:p>
      <w:pPr>
        <w:spacing w:before="80" w:after="40"/>
        <w:jc w:val="center"/>
      </w:pPr>
      <w:r>
        <w:drawing>
          <wp:inline xmlns:a="http://schemas.openxmlformats.org/drawingml/2006/main" xmlns:pic="http://schemas.openxmlformats.org/drawingml/2006/picture">
            <wp:extent cx="4023360" cy="3781958"/>
            <wp:docPr id="30" name="Picture 30"/>
            <wp:cNvGraphicFramePr>
              <a:graphicFrameLocks noChangeAspect="1"/>
            </wp:cNvGraphicFramePr>
            <a:graphic>
              <a:graphicData uri="http://schemas.openxmlformats.org/drawingml/2006/picture">
                <pic:pic>
                  <pic:nvPicPr>
                    <pic:cNvPr id="0" name="fig_8_4_app_moderate_risk.png"/>
                    <pic:cNvPicPr/>
                  </pic:nvPicPr>
                  <pic:blipFill>
                    <a:blip r:embed="rId35"/>
                    <a:stretch>
                      <a:fillRect/>
                    </a:stretch>
                  </pic:blipFill>
                  <pic:spPr>
                    <a:xfrm>
                      <a:off x="0" y="0"/>
                      <a:ext cx="4023360" cy="3781958"/>
                    </a:xfrm>
                    <a:prstGeom prst="rect"/>
                  </pic:spPr>
                </pic:pic>
              </a:graphicData>
            </a:graphic>
          </wp:inline>
        </w:drawing>
      </w:r>
    </w:p>
    <w:p>
      <w:pPr>
        <w:spacing w:before="80" w:after="160" w:line="276" w:lineRule="auto"/>
        <w:jc w:val="center"/>
      </w:pPr>
      <w:r>
        <w:rPr>
          <w:rFonts w:ascii="Times New Roman" w:hAnsi="Times New Roman"/>
          <w:b w:val="0"/>
          <w:i w:val="0"/>
          <w:sz w:val="22"/>
        </w:rPr>
        <w:t>Fig. 8.4 Streamlit web app: Caution / Moderate risk application evaluation</w:t>
      </w:r>
    </w:p>
    <w:p>
      <w:pPr>
        <w:spacing w:before="0" w:after="120" w:line="276" w:lineRule="auto"/>
        <w:jc w:val="both"/>
      </w:pPr>
      <w:r>
        <w:rPr>
          <w:rFonts w:ascii="Times New Roman" w:hAnsi="Times New Roman"/>
          <w:b w:val="0"/>
          <w:i w:val="0"/>
          <w:sz w:val="24"/>
        </w:rPr>
        <w:t>Figure 8.4 shows a borderline borrower ($650k requested, $25k income, CIBIL 630, DTI 38%). The model assigns a Fraud Risk Score of 48%, triggering an amber Caution: Moderate Risk banner recommending secondary manual underwriting review rather than outright rejection.</w:t>
      </w:r>
    </w:p>
    <w:p>
      <w:r>
        <w:br w:type="page"/>
      </w:r>
    </w:p>
    <w:p>
      <w:pPr>
        <w:spacing w:before="80" w:after="40"/>
        <w:jc w:val="center"/>
      </w:pPr>
      <w:r>
        <w:drawing>
          <wp:inline xmlns:a="http://schemas.openxmlformats.org/drawingml/2006/main" xmlns:pic="http://schemas.openxmlformats.org/drawingml/2006/picture">
            <wp:extent cx="4206240" cy="2573229"/>
            <wp:docPr id="31" name="Picture 31"/>
            <wp:cNvGraphicFramePr>
              <a:graphicFrameLocks noChangeAspect="1"/>
            </wp:cNvGraphicFramePr>
            <a:graphic>
              <a:graphicData uri="http://schemas.openxmlformats.org/drawingml/2006/picture">
                <pic:pic>
                  <pic:nvPicPr>
                    <pic:cNvPr id="0" name="fig_8_5_report_pipeline.png"/>
                    <pic:cNvPicPr/>
                  </pic:nvPicPr>
                  <pic:blipFill>
                    <a:blip r:embed="rId36"/>
                    <a:stretch>
                      <a:fillRect/>
                    </a:stretch>
                  </pic:blipFill>
                  <pic:spPr>
                    <a:xfrm>
                      <a:off x="0" y="0"/>
                      <a:ext cx="4206240" cy="2573229"/>
                    </a:xfrm>
                    <a:prstGeom prst="rect"/>
                  </pic:spPr>
                </pic:pic>
              </a:graphicData>
            </a:graphic>
          </wp:inline>
        </w:drawing>
      </w:r>
    </w:p>
    <w:p>
      <w:pPr>
        <w:spacing w:before="80" w:after="160" w:line="276" w:lineRule="auto"/>
        <w:jc w:val="center"/>
      </w:pPr>
      <w:r>
        <w:rPr>
          <w:rFonts w:ascii="Times New Roman" w:hAnsi="Times New Roman"/>
          <w:b w:val="0"/>
          <w:i w:val="0"/>
          <w:sz w:val="22"/>
        </w:rPr>
        <w:t>Fig. 8.5 Automated diagnostic reporting execution terminal output</w:t>
      </w:r>
    </w:p>
    <w:p>
      <w:pPr>
        <w:spacing w:before="0" w:after="120" w:line="276" w:lineRule="auto"/>
        <w:jc w:val="both"/>
      </w:pPr>
      <w:r>
        <w:rPr>
          <w:rFonts w:ascii="Times New Roman" w:hAnsi="Times New Roman"/>
          <w:b w:val="0"/>
          <w:i w:val="0"/>
          <w:sz w:val="24"/>
        </w:rPr>
        <w:t>Figure 8.5 captures the automated diagnostic execution pipeline generated by report_generation/generate_reports.py. The pipeline computes full confusion matrix metrics, probability calibration data, decision threshold curves, and exports 10 high-resolution visual artifacts and 5 structured data schemas to the report/ directory.</w:t>
      </w:r>
    </w:p>
    <w:p>
      <w:pPr>
        <w:spacing w:before="80" w:after="40"/>
        <w:jc w:val="center"/>
      </w:pPr>
      <w:r>
        <w:drawing>
          <wp:inline xmlns:a="http://schemas.openxmlformats.org/drawingml/2006/main" xmlns:pic="http://schemas.openxmlformats.org/drawingml/2006/picture">
            <wp:extent cx="4206240" cy="2573229"/>
            <wp:docPr id="32" name="Picture 32"/>
            <wp:cNvGraphicFramePr>
              <a:graphicFrameLocks noChangeAspect="1"/>
            </wp:cNvGraphicFramePr>
            <a:graphic>
              <a:graphicData uri="http://schemas.openxmlformats.org/drawingml/2006/picture">
                <pic:pic>
                  <pic:nvPicPr>
                    <pic:cNvPr id="0" name="fig_8_6_markdown_report_view.png"/>
                    <pic:cNvPicPr/>
                  </pic:nvPicPr>
                  <pic:blipFill>
                    <a:blip r:embed="rId37"/>
                    <a:stretch>
                      <a:fillRect/>
                    </a:stretch>
                  </pic:blipFill>
                  <pic:spPr>
                    <a:xfrm>
                      <a:off x="0" y="0"/>
                      <a:ext cx="4206240" cy="2573229"/>
                    </a:xfrm>
                    <a:prstGeom prst="rect"/>
                  </pic:spPr>
                </pic:pic>
              </a:graphicData>
            </a:graphic>
          </wp:inline>
        </w:drawing>
      </w:r>
    </w:p>
    <w:p>
      <w:pPr>
        <w:spacing w:before="80" w:after="160" w:line="276" w:lineRule="auto"/>
        <w:jc w:val="center"/>
      </w:pPr>
      <w:r>
        <w:rPr>
          <w:rFonts w:ascii="Times New Roman" w:hAnsi="Times New Roman"/>
          <w:b w:val="0"/>
          <w:i w:val="0"/>
          <w:sz w:val="22"/>
        </w:rPr>
        <w:t>Fig. 8.6 Executive validation report markdown summary view</w:t>
      </w:r>
    </w:p>
    <w:p>
      <w:pPr>
        <w:spacing w:before="0" w:after="120" w:line="276" w:lineRule="auto"/>
        <w:jc w:val="both"/>
      </w:pPr>
      <w:r>
        <w:rPr>
          <w:rFonts w:ascii="Times New Roman" w:hAnsi="Times New Roman"/>
          <w:b w:val="0"/>
          <w:i w:val="0"/>
          <w:sz w:val="24"/>
        </w:rPr>
        <w:t>Figure 8.6 illustrates the executive validation report generated as report/model_performance_report.md. The markdown artifact provides an executive scorecard, confusion matrix breakdown, financial cost analysis, and complete audit documentation for credit risk governance.</w:t>
      </w:r>
    </w:p>
    <w:p>
      <w:r>
        <w:br w:type="page"/>
      </w:r>
    </w:p>
    <w:p>
      <w:pPr>
        <w:spacing w:before="200" w:after="40" w:line="276" w:lineRule="auto"/>
        <w:jc w:val="center"/>
      </w:pPr>
      <w:r>
        <w:rPr>
          <w:rFonts w:ascii="Times New Roman" w:hAnsi="Times New Roman"/>
          <w:b/>
          <w:i w:val="0"/>
          <w:sz w:val="28"/>
        </w:rPr>
        <w:t>CHAPTER 9</w:t>
      </w:r>
    </w:p>
    <w:p>
      <w:pPr>
        <w:spacing w:before="0" w:after="280" w:line="276" w:lineRule="auto"/>
        <w:jc w:val="center"/>
      </w:pPr>
      <w:r>
        <w:rPr>
          <w:rFonts w:ascii="Times New Roman" w:hAnsi="Times New Roman"/>
          <w:b/>
          <w:i w:val="0"/>
          <w:sz w:val="28"/>
        </w:rPr>
        <w:t>CONCLUSION</w:t>
      </w:r>
    </w:p>
    <w:p>
      <w:pPr>
        <w:spacing w:before="0" w:after="120" w:line="276" w:lineRule="auto"/>
        <w:jc w:val="both"/>
      </w:pPr>
      <w:r>
        <w:rPr>
          <w:rFonts w:ascii="Times New Roman" w:hAnsi="Times New Roman"/>
          <w:b w:val="0"/>
          <w:i w:val="0"/>
          <w:sz w:val="24"/>
        </w:rPr>
        <w:t>This project successfully developed and validated LoanGuard-AI, an explainable machine learning system and decision-support architecture for loan application fraud risk detection. Ingesting a benchmark dataset of 50,000 retail loan records, the system systematically preprocessed, cleaned, and validated core financial indicators while tackling severe 2.05% class imbalance.</w:t>
      </w:r>
    </w:p>
    <w:p>
      <w:pPr>
        <w:spacing w:before="0" w:after="120" w:line="276" w:lineRule="auto"/>
        <w:jc w:val="both"/>
      </w:pPr>
      <w:r>
        <w:rPr>
          <w:rFonts w:ascii="Times New Roman" w:hAnsi="Times New Roman"/>
          <w:b w:val="0"/>
          <w:i w:val="0"/>
          <w:sz w:val="24"/>
        </w:rPr>
        <w:t>By implementing a cost-sensitive Logistic Regression classifier with balanced inverse class weights, LoanGuard-AI overcame the critical failure of unweighted models, successfully catching 45.85% of all fraudulent loans on an unseen 10,000-sample test set. A rigorous Financial Impact Cost Matrix demonstrated that this level of discrimination prevents an estimated $3,290,000 in direct charge-off losses, delivering $2,583,800 in net financial savings over baseline unassisted underwriting.</w:t>
      </w:r>
    </w:p>
    <w:p>
      <w:pPr>
        <w:spacing w:before="0" w:after="120" w:line="276" w:lineRule="auto"/>
        <w:jc w:val="both"/>
      </w:pPr>
      <w:r>
        <w:rPr>
          <w:rFonts w:ascii="Times New Roman" w:hAnsi="Times New Roman"/>
          <w:b w:val="0"/>
          <w:i w:val="0"/>
          <w:sz w:val="24"/>
        </w:rPr>
        <w:t>Furthermore, LoanGuard-AI directly addressed the 'black box' problem by decomposing predictions into interpretable risk driver cards based on debt-to-income burden, credit tiers, and loan leverage. Deployed via an interactive Streamlit application, the platform demonstrates an end-to-end machine learning engineering workflow—from data cleaning and statistical modeling to financial cost optimization and human-in-the-loop deployment.</w:t>
      </w:r>
    </w:p>
    <w:p>
      <w:pPr>
        <w:spacing w:before="0" w:after="120" w:line="276" w:lineRule="auto"/>
        <w:jc w:val="both"/>
      </w:pPr>
      <w:r>
        <w:rPr>
          <w:rFonts w:ascii="Times New Roman" w:hAnsi="Times New Roman"/>
          <w:b w:val="0"/>
          <w:i w:val="0"/>
          <w:sz w:val="24"/>
        </w:rPr>
        <w:t>The project also realistically identified key limitations: in extreme class imbalance, intercepting 46% of fraud generates operational false alarms (48% review rate), highlighting that machine learning in lending serves as an intelligent triaging filter rather than a fully autonomous credit arbiter.</w:t>
      </w:r>
    </w:p>
    <w:p>
      <w:r>
        <w:br w:type="page"/>
      </w:r>
    </w:p>
    <w:p>
      <w:pPr>
        <w:spacing w:before="200" w:after="40" w:line="276" w:lineRule="auto"/>
        <w:jc w:val="center"/>
      </w:pPr>
      <w:r>
        <w:rPr>
          <w:rFonts w:ascii="Times New Roman" w:hAnsi="Times New Roman"/>
          <w:b/>
          <w:i w:val="0"/>
          <w:sz w:val="28"/>
        </w:rPr>
        <w:t>CHAPTER 10</w:t>
      </w:r>
    </w:p>
    <w:p>
      <w:pPr>
        <w:spacing w:before="0" w:after="280" w:line="276" w:lineRule="auto"/>
        <w:jc w:val="center"/>
      </w:pPr>
      <w:r>
        <w:rPr>
          <w:rFonts w:ascii="Times New Roman" w:hAnsi="Times New Roman"/>
          <w:b/>
          <w:i w:val="0"/>
          <w:sz w:val="28"/>
        </w:rPr>
        <w:t>FUTURE SCOPE</w:t>
      </w:r>
    </w:p>
    <w:p>
      <w:pPr>
        <w:spacing w:before="0" w:after="120" w:line="276" w:lineRule="auto"/>
        <w:jc w:val="both"/>
      </w:pPr>
      <w:r>
        <w:rPr>
          <w:rFonts w:ascii="Times New Roman" w:hAnsi="Times New Roman"/>
          <w:b w:val="0"/>
          <w:i w:val="0"/>
          <w:sz w:val="24"/>
        </w:rPr>
        <w:t>• Non-Linear Ensemble Architectures: Benchmark gradient boosting frameworks (XGBoost, LightGBM, CatBoost) to capture high-order non-linear interactions while maintaining monotonic constraints.</w:t>
      </w:r>
    </w:p>
    <w:p>
      <w:pPr>
        <w:spacing w:before="0" w:after="120" w:line="276" w:lineRule="auto"/>
        <w:jc w:val="both"/>
      </w:pPr>
      <w:r>
        <w:rPr>
          <w:rFonts w:ascii="Times New Roman" w:hAnsi="Times New Roman"/>
          <w:b w:val="0"/>
          <w:i w:val="0"/>
          <w:sz w:val="24"/>
        </w:rPr>
        <w:t>• Dynamic Feature Engineering: Incorporate derived financial metrics such as disposable income after debt, loan payment-to-income (PTI), and historical delinquency velocity.</w:t>
      </w:r>
    </w:p>
    <w:p>
      <w:pPr>
        <w:spacing w:before="0" w:after="120" w:line="276" w:lineRule="auto"/>
        <w:jc w:val="both"/>
      </w:pPr>
      <w:r>
        <w:rPr>
          <w:rFonts w:ascii="Times New Roman" w:hAnsi="Times New Roman"/>
          <w:b w:val="0"/>
          <w:i w:val="0"/>
          <w:sz w:val="24"/>
        </w:rPr>
        <w:t>• Deep Tabular Learning: Explore attention-based tabular architectures (e.g. TabNet) with self-supervised pretraining on unlabeled credit bureau histories.</w:t>
      </w:r>
    </w:p>
    <w:p>
      <w:pPr>
        <w:spacing w:before="0" w:after="120" w:line="276" w:lineRule="auto"/>
        <w:jc w:val="both"/>
      </w:pPr>
      <w:r>
        <w:rPr>
          <w:rFonts w:ascii="Times New Roman" w:hAnsi="Times New Roman"/>
          <w:b w:val="0"/>
          <w:i w:val="0"/>
          <w:sz w:val="24"/>
        </w:rPr>
        <w:t>• Automated Cost-Sensitive Thresholding: Implement real-time threshold optimization that dynamically adapts to fluctuations in underwriter staff availability and monthly capital exposure targets.</w:t>
      </w:r>
    </w:p>
    <w:p>
      <w:pPr>
        <w:spacing w:before="0" w:after="120" w:line="276" w:lineRule="auto"/>
        <w:jc w:val="both"/>
      </w:pPr>
      <w:r>
        <w:rPr>
          <w:rFonts w:ascii="Times New Roman" w:hAnsi="Times New Roman"/>
          <w:b w:val="0"/>
          <w:i w:val="0"/>
          <w:sz w:val="24"/>
        </w:rPr>
        <w:t>• Identity Graph and Device Intelligence: Integrate graph neural networks (GNNs) to detect synthetic identity rings, IP clustering, and shared bank account linkages across applications.</w:t>
      </w:r>
    </w:p>
    <w:p>
      <w:pPr>
        <w:spacing w:before="0" w:after="120" w:line="276" w:lineRule="auto"/>
        <w:jc w:val="both"/>
      </w:pPr>
      <w:r>
        <w:rPr>
          <w:rFonts w:ascii="Times New Roman" w:hAnsi="Times New Roman"/>
          <w:b w:val="0"/>
          <w:i w:val="0"/>
          <w:sz w:val="24"/>
        </w:rPr>
        <w:t>• Global and Local Explainability via SHAP: Incorporate TreeSHAP / KernelSHAP game-theoretic feature attribution to provide mathematical Shapley waterfall plots in the web interface.</w:t>
      </w:r>
    </w:p>
    <w:p>
      <w:pPr>
        <w:spacing w:before="0" w:after="120" w:line="276" w:lineRule="auto"/>
        <w:jc w:val="both"/>
      </w:pPr>
      <w:r>
        <w:rPr>
          <w:rFonts w:ascii="Times New Roman" w:hAnsi="Times New Roman"/>
          <w:b w:val="0"/>
          <w:i w:val="0"/>
          <w:sz w:val="24"/>
        </w:rPr>
        <w:t>• Enterprise API and Cloud Deployment: Containerize the pipeline via Docker and Kubernetes, exposing a low-latency FastAPI endpoint for seamless integration with commercial loan origination systems (LOS).</w:t>
      </w:r>
    </w:p>
    <w:p>
      <w:pPr>
        <w:spacing w:before="0" w:after="120" w:line="276" w:lineRule="auto"/>
        <w:jc w:val="both"/>
      </w:pPr>
      <w:r>
        <w:rPr>
          <w:rFonts w:ascii="Times New Roman" w:hAnsi="Times New Roman"/>
          <w:b w:val="0"/>
          <w:i w:val="0"/>
          <w:sz w:val="24"/>
        </w:rPr>
        <w:t>• Automated PDF Risk Reporting: Extend app.py to generate one-click downloadable PDF underwriting audit summaries for credit committee compliance documentation.</w:t>
      </w:r>
    </w:p>
    <w:p>
      <w:r>
        <w:br w:type="page"/>
      </w:r>
    </w:p>
    <w:p>
      <w:pPr>
        <w:spacing w:before="200" w:after="40" w:line="276" w:lineRule="auto"/>
        <w:jc w:val="center"/>
      </w:pPr>
      <w:r>
        <w:rPr>
          <w:rFonts w:ascii="Times New Roman" w:hAnsi="Times New Roman"/>
          <w:b/>
          <w:i w:val="0"/>
          <w:sz w:val="28"/>
        </w:rPr>
        <w:t>CHAPTER 11</w:t>
      </w:r>
    </w:p>
    <w:p>
      <w:pPr>
        <w:spacing w:before="0" w:after="280" w:line="276" w:lineRule="auto"/>
        <w:jc w:val="center"/>
      </w:pPr>
      <w:r>
        <w:rPr>
          <w:rFonts w:ascii="Times New Roman" w:hAnsi="Times New Roman"/>
          <w:b/>
          <w:i w:val="0"/>
          <w:sz w:val="28"/>
        </w:rPr>
        <w:t>REFERENCES</w:t>
      </w:r>
    </w:p>
    <w:p>
      <w:pPr>
        <w:spacing w:before="0" w:after="160" w:line="276" w:lineRule="auto"/>
        <w:jc w:val="both"/>
      </w:pPr>
      <w:r>
        <w:rPr>
          <w:rFonts w:ascii="Times New Roman" w:hAnsi="Times New Roman"/>
          <w:b w:val="0"/>
          <w:i w:val="0"/>
          <w:sz w:val="24"/>
        </w:rPr>
        <w:t>[1] A. Hand and W. Henley, "Statistical classification methods in consumer credit scoring: a review," Journal of the Royal Statistical Society: Series A (Statistics in Society), vol. 160, no. 3, pp. 523–541, 1997.</w:t>
      </w:r>
    </w:p>
    <w:p>
      <w:pPr>
        <w:spacing w:before="0" w:after="160" w:line="276" w:lineRule="auto"/>
        <w:jc w:val="both"/>
      </w:pPr>
      <w:r>
        <w:rPr>
          <w:rFonts w:ascii="Times New Roman" w:hAnsi="Times New Roman"/>
          <w:b w:val="0"/>
          <w:i w:val="0"/>
          <w:sz w:val="24"/>
        </w:rPr>
        <w:t>[2] N. V. Chawla, K. W. Bowyer, L. O. Hall, and W. P. Kegelmeyer, "SMOTE: Synthetic Minority Over-sampling Technique," Journal of Artificial Intelligence Research, vol. 16, pp. 321–357, 2002.</w:t>
      </w:r>
    </w:p>
    <w:p>
      <w:pPr>
        <w:spacing w:before="0" w:after="160" w:line="276" w:lineRule="auto"/>
        <w:jc w:val="both"/>
      </w:pPr>
      <w:r>
        <w:rPr>
          <w:rFonts w:ascii="Times New Roman" w:hAnsi="Times New Roman"/>
          <w:b w:val="0"/>
          <w:i w:val="0"/>
          <w:sz w:val="24"/>
        </w:rPr>
        <w:t>[3] C. Elkan, "The Foundations of Cost-Sensitive Learning," in Proceedings of the 17th International Joint Conference on Artificial Intelligence (IJCAI), pp. 973–978, 2001.</w:t>
      </w:r>
    </w:p>
    <w:p>
      <w:pPr>
        <w:spacing w:before="0" w:after="160" w:line="276" w:lineRule="auto"/>
        <w:jc w:val="both"/>
      </w:pPr>
      <w:r>
        <w:rPr>
          <w:rFonts w:ascii="Times New Roman" w:hAnsi="Times New Roman"/>
          <w:b w:val="0"/>
          <w:i w:val="0"/>
          <w:sz w:val="24"/>
        </w:rPr>
        <w:t>[4] F. Pedregosa et al., "Scikit-learn: Machine Learning in Python," Journal of Machine Learning Research, vol. 12, pp. 2825–2830, 2011.</w:t>
      </w:r>
    </w:p>
    <w:p>
      <w:pPr>
        <w:spacing w:before="0" w:after="160" w:line="276" w:lineRule="auto"/>
        <w:jc w:val="both"/>
      </w:pPr>
      <w:r>
        <w:rPr>
          <w:rFonts w:ascii="Times New Roman" w:hAnsi="Times New Roman"/>
          <w:b w:val="0"/>
          <w:i w:val="0"/>
          <w:sz w:val="24"/>
        </w:rPr>
        <w:t>[5] S. M. Lundberg and S.-I. Lee, "A Unified Approach to Interpreting Model Predictions," in Advances in Neural Information Processing Systems (NeurIPS), vol. 30, pp. 4765–4774, 2017.</w:t>
      </w:r>
    </w:p>
    <w:p>
      <w:pPr>
        <w:spacing w:before="0" w:after="160" w:line="276" w:lineRule="auto"/>
        <w:jc w:val="both"/>
      </w:pPr>
      <w:r>
        <w:rPr>
          <w:rFonts w:ascii="Times New Roman" w:hAnsi="Times New Roman"/>
          <w:b w:val="0"/>
          <w:i w:val="0"/>
          <w:sz w:val="24"/>
        </w:rPr>
        <w:t>[6] T. Fawcett, "An introduction to ROC analysis," Pattern Recognition Letters, vol. 27, no. 8, pp. 861–874, 2006.</w:t>
      </w:r>
    </w:p>
    <w:p>
      <w:pPr>
        <w:spacing w:before="0" w:after="160" w:line="276" w:lineRule="auto"/>
        <w:jc w:val="both"/>
      </w:pPr>
      <w:r>
        <w:rPr>
          <w:rFonts w:ascii="Times New Roman" w:hAnsi="Times New Roman"/>
          <w:b w:val="0"/>
          <w:i w:val="0"/>
          <w:sz w:val="24"/>
        </w:rPr>
        <w:t>[7] J. Davis and M. Goadrich, "The relationship between Precision-Recall and ROC curves," in Proceedings of the 23rd International Conference on Machine Learning (ICML), pp. 233–240, 2006.</w:t>
      </w:r>
    </w:p>
    <w:p>
      <w:pPr>
        <w:spacing w:before="0" w:after="160" w:line="276" w:lineRule="auto"/>
        <w:jc w:val="both"/>
      </w:pPr>
      <w:r>
        <w:rPr>
          <w:rFonts w:ascii="Times New Roman" w:hAnsi="Times New Roman"/>
          <w:b w:val="0"/>
          <w:i w:val="0"/>
          <w:sz w:val="24"/>
        </w:rPr>
        <w:t>[8] H. He and E. A. Garcia, "Learning from Imbalanced Data," IEEE Transactions on Knowledge and Data Engineering, vol. 21, no. 9, pp. 1263–1284, 2009.</w:t>
      </w:r>
    </w:p>
    <w:p>
      <w:pPr>
        <w:spacing w:before="0" w:after="160" w:line="276" w:lineRule="auto"/>
        <w:jc w:val="both"/>
      </w:pPr>
      <w:r>
        <w:rPr>
          <w:rFonts w:ascii="Times New Roman" w:hAnsi="Times New Roman"/>
          <w:b w:val="0"/>
          <w:i w:val="0"/>
          <w:sz w:val="24"/>
        </w:rPr>
        <w:t>[9] Kaggle Dataset Benchmark, "Loan Application &amp; Transaction Fraud Detection Dataset," available on Kaggle Machine Learning Repository, 2024.</w:t>
      </w:r>
    </w:p>
    <w:p>
      <w:pPr>
        <w:spacing w:before="0" w:after="160" w:line="276" w:lineRule="auto"/>
        <w:jc w:val="both"/>
      </w:pPr>
      <w:r>
        <w:rPr>
          <w:rFonts w:ascii="Times New Roman" w:hAnsi="Times New Roman"/>
          <w:b w:val="0"/>
          <w:i w:val="0"/>
          <w:sz w:val="24"/>
        </w:rPr>
        <w:t>[10] Streamlit Open-Source Framework Documentation, https://docs.streamlit.io, 2024.</w:t>
      </w:r>
    </w:p>
    <w:p>
      <w:pPr>
        <w:spacing w:before="0" w:after="160" w:line="276" w:lineRule="auto"/>
        <w:jc w:val="both"/>
      </w:pPr>
      <w:r>
        <w:rPr>
          <w:rFonts w:ascii="Times New Roman" w:hAnsi="Times New Roman"/>
          <w:b w:val="0"/>
          <w:i w:val="0"/>
          <w:sz w:val="24"/>
        </w:rPr>
        <w:t>[11] Basel Committee on Banking Supervision, "Principles for the Management of Credit Risk," Bank for International Settlements, Basel, Switzerland, 2000.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