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172A"/>
          <w:sz w:val="48"/>
        </w:rPr>
        <w:t>ENTERPRISE B2B &amp; 3PL LOGISTICS PLATFORM</w:t>
      </w:r>
    </w:p>
    <w:p>
      <w:pPr>
        <w:jc w:val="center"/>
      </w:pPr>
      <w:r>
        <w:rPr>
          <w:i/>
          <w:color w:val="475569"/>
          <w:sz w:val="26"/>
        </w:rPr>
        <w:t>Frontend Technical &amp; Functional Architecture Documentation</w:t>
        <w:br/>
        <w:t>Proof of Delivery (POD) to Cash Pipeline</w:t>
      </w:r>
    </w:p>
    <w:p>
      <w:pPr>
        <w:spacing w:after="240"/>
      </w:pPr>
    </w:p>
    <w:p>
      <w:pPr>
        <w:pStyle w:val="Heading1"/>
      </w:pPr>
      <w:r>
        <w:t>1. Executive Overview &amp; System Lifecycle</w:t>
      </w:r>
    </w:p>
    <w:p>
      <w:pPr>
        <w:spacing w:after="160"/>
      </w:pPr>
      <w:r>
        <w:t>This platform digitizes and automates the enterprise 'Proof of Delivery (POD) to Cash' supply chain pipeline. Built using Next.js (App Router), Tailwind CSS, and shadcn/ui primitives, the system connects five distinct stakeholders into a unified real-time workflow that eliminates paper latency, unverified cash floats, and invoice dispute delays.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Role / Portal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Route Path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Primary Operational Focus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1. Dispatch Ops Dashboard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9"/>
              </w:rPr>
              <w:t>/</w:t>
            </w:r>
          </w:p>
        </w:tc>
        <w:tc>
          <w:tcPr>
            <w:tcW w:type="dxa" w:w="3120"/>
          </w:tcPr>
          <w:p>
            <w:r>
              <w:t>Live fleet telematics grid, driver float advance, and EOD tally closures.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b/>
              </w:rPr>
              <w:t>2. Driver Mobile-Web App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ourier New" w:hAnsi="Courier New"/>
                <w:sz w:val="19"/>
              </w:rPr>
              <w:t>/driver</w:t>
            </w:r>
          </w:p>
        </w:tc>
        <w:tc>
          <w:tcPr>
            <w:tcW w:type="dxa" w:w="3120"/>
            <w:shd w:fill="F8FAFC"/>
          </w:tcPr>
          <w:p>
            <w:r>
              <w:t>Outdoor-glare HUD, turn-by-turn guidance, LR camera capture, and glass signing.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3. Internal Audit Workspace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9"/>
              </w:rPr>
              <w:t>/audit</w:t>
            </w:r>
          </w:p>
        </w:tc>
        <w:tc>
          <w:tcPr>
            <w:tcW w:type="dxa" w:w="3120"/>
          </w:tcPr>
          <w:p>
            <w:r>
              <w:t>50/50 split-pane viewer (zoom/rotate), GPS vs odometer match, 5-gate checklist.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b/>
              </w:rPr>
              <w:t>4. Logistics Accounts &amp; Billing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ourier New" w:hAnsi="Courier New"/>
                <w:sz w:val="19"/>
              </w:rPr>
              <w:t>/accounts</w:t>
            </w:r>
          </w:p>
        </w:tc>
        <w:tc>
          <w:tcPr>
            <w:tcW w:type="dxa" w:w="3120"/>
            <w:shd w:fill="F8FAFC"/>
          </w:tcPr>
          <w:p>
            <w:r>
              <w:t>Unbilled trip pooling, 18% GST calculation (SAC 996511), and formal tax invoice generator.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5. Client AP Portal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sz w:val="19"/>
              </w:rPr>
              <w:t>/client-portal</w:t>
            </w:r>
          </w:p>
        </w:tc>
        <w:tc>
          <w:tcPr>
            <w:tcW w:type="dxa" w:w="3120"/>
          </w:tcPr>
          <w:p>
            <w:r>
              <w:t>Consignee invoice review, digital POD inspection, and inline line dispute drawer.</w:t>
            </w:r>
          </w:p>
        </w:tc>
      </w:tr>
    </w:tbl>
    <w:p>
      <w:pPr>
        <w:spacing w:after="320"/>
      </w:pPr>
    </w:p>
    <w:p>
      <w:pPr>
        <w:pStyle w:val="Heading1"/>
      </w:pPr>
      <w:r>
        <w:t>2. Role 1: Dispatch Manager Dashboard</w:t>
      </w:r>
    </w:p>
    <w:p>
      <w:pPr>
        <w:pStyle w:val="Heading2"/>
      </w:pPr>
      <w:r>
        <w:t>2.1 Core Objective</w:t>
      </w:r>
    </w:p>
    <w:p>
      <w:r>
        <w:t>Grants regional dispatch superintendents real-time situational awareness over active fleet deployments, vehicle telematics, driver cash floats, and End-of-Day (EOD) financial closures at logistics terminals.</w:t>
      </w:r>
    </w:p>
    <w:p>
      <w:pPr>
        <w:pStyle w:val="Heading2"/>
      </w:pPr>
      <w:r>
        <w:t>2.2 Architectural &amp; UI/UX Design Rationale</w:t>
      </w:r>
    </w:p>
    <w:p>
      <w:r>
        <w:t>• High-Density Enterprise SaaS (Retool/Linear Style): Dispatchers manage hundreds of trips daily. Screen efficiency is maximized with py-2.5 cell height, h-8 inputs/buttons, and text-xs typography to prevent unnecessary vertical scrolling.</w:t>
        <w:br/>
        <w:t>• Muted Monochromatic Palette: Built on clean bg-white cards with bg-slate-50 backdrop, border-slate-200, and text-slate-800 text. High-saturation colors are strictly reserved for operational exceptions (e.g. amber for Delayed trips, red for cash deficits).</w:t>
        <w:br/>
        <w:t>• Tabular Monospace Alignment: Vehicle registration numbers (MH 12 RN 4920), odometers (142,380 km), and currency figures utilize monospace font variants (font-mono) to guarantee vertical decimal alignment for rapid visual auditing.</w:t>
      </w:r>
    </w:p>
    <w:p>
      <w:pPr>
        <w:pStyle w:val="Heading2"/>
      </w:pPr>
      <w:r>
        <w:t>2.3 Key Features &amp; Components</w:t>
      </w:r>
    </w:p>
    <w:p>
      <w:r>
        <w:t>• Collapsible Operational Left Sidebar: Fixed-width navigation with brand identity (VECTO LOGISTICS), active shift profile, and system health indicator (ISO-28000 / POD-2PL Synced).</w:t>
        <w:br/>
        <w:t>• Top Operational Header: Search input with real-time substring filtering across Vehicle Reg No, Driver Name, Destination, and Trip ID; simulated shift/date picker; and live fleet metric pill (Active | Delayed | Total Fleet).</w:t>
        <w:br/>
        <w:t>• Executive KPI Strip: 4 compact summary cards tracking Live Dispatched, Expected COD Inbound (₹), Dispatched Advances (₹), and Pending EOD Audit.</w:t>
        <w:br/>
        <w:t>• Live Vehicle &amp; Trip Grid (Table, Card): Displays Vehicle Reg No, Driver Contact, Destination Corridor, Start/Current Odometer, Trip Status badge, and per-row action buttons ('Log Expense' and 'Close Trip').</w:t>
        <w:br/>
        <w:t>• EOD Cash &amp; Expense Modal (Dialog): Form input fields for FASTag tolls, driver daily allowance (bhatta), emergency fuel slips, and total COD collected with live mathematical reconciliation.</w:t>
      </w:r>
    </w:p>
    <w:p>
      <w:pPr>
        <w:pStyle w:val="Heading2"/>
      </w:pPr>
      <w:r>
        <w:t>2.4 State &amp; Data Flow (Frontend Logic)</w:t>
      </w:r>
    </w:p>
    <w:p>
      <w:r>
        <w:t>• Real-time Filter &amp; Search State: Driven by searchQuery and selectedStatusFilter hooks feeding a memoized useMemo pipeline that filters INITIAL_FLEET_DATA without server round-trips.</w:t>
        <w:br/>
        <w:t>• EOD Tally Mathematical Model: Total Expenses (E) = Toll + Allowance + Fuel. Unspent Advance = Advance - E. Net Expected Remittance = COD + Unspent Advance. Discrepancy (Δ) = Actual Cash Collected - Expected Remittance.</w:t>
        <w:br/>
        <w:t>• Discrepancy Visual Feedback: A dynamic conditional container highlights Balanced (Zero Discrepancy) in emerald, Surplus Cash in blue, or Deficit / Shortage Action Required in red.</w:t>
      </w:r>
    </w:p>
    <w:p>
      <w:pPr>
        <w:spacing w:after="240"/>
      </w:pPr>
    </w:p>
    <w:p>
      <w:pPr>
        <w:pStyle w:val="Heading1"/>
      </w:pPr>
      <w:r>
        <w:t>3. Role 2: Driver Mobile-Web App</w:t>
      </w:r>
    </w:p>
    <w:p>
      <w:pPr>
        <w:pStyle w:val="Heading2"/>
      </w:pPr>
      <w:r>
        <w:t>3.1 Core Objective</w:t>
      </w:r>
    </w:p>
    <w:p>
      <w:r>
        <w:t>Provides truck drivers with an outdoor-glare-resistant, touch-optimized mobile interface to navigate delivery stops, capture physical Lorry Receipts (LR), record receiver digital signatures, and collect COD remittances.</w:t>
      </w:r>
    </w:p>
    <w:p>
      <w:pPr>
        <w:pStyle w:val="Heading2"/>
      </w:pPr>
      <w:r>
        <w:t>3.2 Architectural &amp; UI/UX Design Rationale</w:t>
      </w:r>
    </w:p>
    <w:p>
      <w:r>
        <w:t>• Centered Mobile-First Shell: Wrapped in a constrained viewport container (max-w-md mx-auto min-h-screen border-x border-slate-300 pb-24) simulating native iOS/Android handheld operating behavior.</w:t>
        <w:br/>
        <w:t>• Outdoor Glare &amp; Glove Optimization: High-contrast dark status headers, bold high-contrast text (text-slate-900, font-black), stark 2px solid borders, and massive action buttons (py-7, text-lg) with high-visibility corporate blue (bg-blue-700) and emerald green (bg-emerald-600).</w:t>
        <w:br/>
        <w:t>• Tactile Hierarchy: Prevents accidental taps while driving by requiring deliberate thumb gestures on prominent touch zones.</w:t>
      </w:r>
    </w:p>
    <w:p>
      <w:pPr>
        <w:pStyle w:val="Heading2"/>
      </w:pPr>
      <w:r>
        <w:t>3.3 Key Features &amp; Components</w:t>
      </w:r>
    </w:p>
    <w:p>
      <w:r>
        <w:t>• Rugged Device Status Header: Duty toggle button ('Start Shift' / 'End Shift'), live 4G LTE and battery indicators, vehicle registration badge, and quick link to Dispatch UI.</w:t>
        <w:br/>
        <w:t>• Current Active Delivery Card: Displays primary destination (Metro Cash &amp; Carry - Whitefield DC), client name, cargo specifications (12 Pallets FMCG, 3.8 Tonnes, ₹24,500 COD), and direct one-tap telephone dialer to the consignee gate manager.</w:t>
        <w:br/>
        <w:t>• Simulated GPS Routing HUD: Dark-mode GPS display showing speed (48 km/h), distance remaining (45 km), ETA countdown (52 mins), route corridor (NH-48 via Outer Ring Road), and turn-by-turn guidance.</w:t>
        <w:br/>
        <w:t>• Up Next Stop Queue: Preview cards for subsequent stops in the route (Stop #2: Reliance Retail, Stop #3: Flipkart Wholesale).</w:t>
        <w:br/>
        <w:t>• Digital POD &amp; Payment Collection Modal (Dialog): Full-screen modal housing LR Camera Dropzone, HTML5 Canvas 'Sign on Glass' signature pad, and high-contrast Cash vs UPI QR payment toggle.</w:t>
      </w:r>
    </w:p>
    <w:p>
      <w:pPr>
        <w:pStyle w:val="Heading2"/>
      </w:pPr>
      <w:r>
        <w:t>3.4 State &amp; Data Flow (Frontend Logic)</w:t>
      </w:r>
    </w:p>
    <w:p>
      <w:r>
        <w:t>• Trip Stage Machine: Transitions between 'driving' → 'arrived' → 'completed'. Tapping 'Reached Destination' advances status to 'Complete Delivery &amp; POD', unlocking the submission modal.</w:t>
        <w:br/>
        <w:t>• Canvas Touch Drawing State: Managed via HTML5 2D Canvas context (canvasRef). Captures both touch events (mobile devices) and mouse strokes (desktop testing), tracking signature strokes.</w:t>
        <w:br/>
        <w:t>• Validation Gating: Validates that hasCapturedPhoto is true before committing; upon confirmation, a success alert confirms settlement.</w:t>
      </w:r>
    </w:p>
    <w:p>
      <w:pPr>
        <w:spacing w:after="240"/>
      </w:pPr>
    </w:p>
    <w:p>
      <w:pPr>
        <w:pStyle w:val="Heading1"/>
      </w:pPr>
      <w:r>
        <w:t>4. Role 3: Internal Audit Workspace</w:t>
      </w:r>
    </w:p>
    <w:p>
      <w:pPr>
        <w:pStyle w:val="Heading2"/>
      </w:pPr>
      <w:r>
        <w:t>4.1 Core Objective</w:t>
      </w:r>
    </w:p>
    <w:p>
      <w:r>
        <w:t>Enables secondary-level freight auditors to cross-verify physical delivery documents against telematics data, inspect consignee stamps and signatures, detect freight/toll variances, and either certify invoices for billing or log disputes.</w:t>
      </w:r>
    </w:p>
    <w:p>
      <w:pPr>
        <w:pStyle w:val="Heading2"/>
      </w:pPr>
      <w:r>
        <w:t>4.2 Architectural &amp; UI/UX Design Rationale</w:t>
      </w:r>
    </w:p>
    <w:p>
      <w:r>
        <w:t>• 50/50 Split-Pane Layout: Eliminates tab-switching cognitive load by placing the physical document on the Left Pane and the digital system data on the Right Pane side-by-side.</w:t>
        <w:br/>
        <w:t>• High-Density Verification Workspace: Clean white cards, muted slate accents, and monospace financial/mileage comparisons designed for rapid verification throughput (&lt; 2 minutes per consignment).</w:t>
      </w:r>
    </w:p>
    <w:p>
      <w:pPr>
        <w:pStyle w:val="Heading2"/>
      </w:pPr>
      <w:r>
        <w:t>4.3 Key Features &amp; Components</w:t>
      </w:r>
    </w:p>
    <w:p>
      <w:r>
        <w:t>• Interactive Document Viewer (Left Pane): Zoom In (+25%), Zoom Out (-25%), Rotate 90° clockwise, and 1-click Reset.</w:t>
        <w:br/>
        <w:t>• Digital LR Consignment Note Canvas: Renders high-fidelity consignment metadata, gate inward timestamp, and physical warehouse stamp.</w:t>
        <w:br/>
        <w:t>• Sign-on-Glass Digital Verification Sub-Panel: Displays cryptographic auth hash (#a98f-44e2-9b01), signatory credentials, and dock GPS tag.</w:t>
        <w:br/>
        <w:t>• Audit Telematics &amp; Financial Pane (Right Pane): Trip metadata, departure/arrival timestamps, and GPS vs Odometer distance variance calculator.</w:t>
        <w:br/>
        <w:t>• Financial Tally Table: Line-item variance matrix comparing Driver Reported vs System Policy for Tolls, Fuel, Allowance, and COD.</w:t>
        <w:br/>
        <w:t>• Interactive 5-Gate Checklist: Distance Match, Cash Match, Signature Present, Consignee Stamp Verified, and Document Legibility.</w:t>
        <w:br/>
        <w:t>• Sticky Action Footer: 'Raise Discrepancy' (Red Outline) to freeze billing or 'Verify &amp; Send to Billing' (Dark Solid) to approve.</w:t>
      </w:r>
    </w:p>
    <w:p>
      <w:pPr>
        <w:pStyle w:val="Heading2"/>
      </w:pPr>
      <w:r>
        <w:t>4.4 State &amp; Data Flow (Frontend Logic)</w:t>
      </w:r>
    </w:p>
    <w:p>
      <w:r>
        <w:t>• Transform Matrix Manipulation: zoomLevel and rotation states directly manipulate CSS transform: scale(...) rotate(...) with hardware acceleration.</w:t>
        <w:br/>
        <w:t>• Multi-Trip Queue Switching: selectedTripId drives reactive memoization to swap active documents, telematics, and financial tables on demand.</w:t>
        <w:br/>
        <w:t>• Checklist State Engine: An object state dictionary toggles boolean checklist gates, updating row alert colors.</w:t>
      </w:r>
    </w:p>
    <w:p>
      <w:pPr>
        <w:spacing w:after="240"/>
      </w:pPr>
    </w:p>
    <w:p>
      <w:pPr>
        <w:pStyle w:val="Heading1"/>
      </w:pPr>
      <w:r>
        <w:t>5. Role 4: Logistics Accounts &amp; Billing</w:t>
      </w:r>
    </w:p>
    <w:p>
      <w:pPr>
        <w:pStyle w:val="Heading2"/>
      </w:pPr>
      <w:r>
        <w:t>5.1 Core Objective</w:t>
      </w:r>
    </w:p>
    <w:p>
      <w:r>
        <w:t>Allows the 3PL finance and billing team to pool audit-cleared trips, compute accessorial charges (toll, demurrage), calculate statutory Indian GST taxes (18% under SAC 996511), and generate consolidated tax invoices.</w:t>
      </w:r>
    </w:p>
    <w:p>
      <w:pPr>
        <w:pStyle w:val="Heading2"/>
      </w:pPr>
      <w:r>
        <w:t>5.2 Architectural &amp; UI/UX Design Rationale</w:t>
      </w:r>
    </w:p>
    <w:p>
      <w:r>
        <w:t>• Tabular ERP Data Density: Built for accounting clerks handling multi-trip consignment statements. Monospaced numeric alignment guarantees readability across high-value invoices.</w:t>
        <w:br/>
        <w:t>• Dual-Tab Perspective: Distinguishes between unbilled inventory (Pending Billing) and committed receivables (Accounts Receivable Ledger).</w:t>
      </w:r>
    </w:p>
    <w:p>
      <w:pPr>
        <w:pStyle w:val="Heading2"/>
      </w:pPr>
      <w:r>
        <w:t>5.3 Key Features &amp; Components</w:t>
      </w:r>
    </w:p>
    <w:p>
      <w:r>
        <w:t>• Executive Accounts Header: Search bar across Client, Invoice, and Trip ID, paired with financial KPIs (Outstanding AR, Overdue, Ready to Bill).</w:t>
        <w:br/>
        <w:t>• Tab 1: Pending Billing (Unbilled Trips Queue): Multi-select checkboxes with global 'Select All' header toggle, base freight, and accessorials.</w:t>
        <w:br/>
        <w:t>• Floating Sticky Bottom Action Bar: Slides up when rows are selected, showing live counts: X Trips Selected | Subtotal: ₹Y | Est. GST (18%): ₹Z | Grand Total: ₹W.</w:t>
        <w:br/>
        <w:t>• Tab 2: Accounts Receivable Ledger: Tracks published invoices, issuance/due dates, trip counts, subtotal, 18% GST, grand total, and payment status badges.</w:t>
        <w:br/>
        <w:t>• Widget: Formal GST Tax Invoice Draft Generator (Dialog): Complies with Indian Rule 46 GST Tax Invoice specifications with seller and client bill-to details, SAC 996511 breakdown, bank remittance details (ICICI Bank A/C, IFSC, UPI VPA), and publishing trigger.</w:t>
      </w:r>
    </w:p>
    <w:p>
      <w:pPr>
        <w:pStyle w:val="Heading2"/>
      </w:pPr>
      <w:r>
        <w:t>5.4 State &amp; Data Flow (Frontend Logic)</w:t>
      </w:r>
    </w:p>
    <w:p>
      <w:r>
        <w:t>• Multi-Selection Array State: Managed via selectedTripIds: string[]. Toggling checkboxes dynamically recalculates subtotal, 18% GST, and grand total.</w:t>
        <w:br/>
        <w:t>• Dynamic GST Tax Math: Subtotal (S) = Sum(Freight + Toll + Demurrage). GST (18%) = round(S * 0.18). Grand Total = S + GST.</w:t>
        <w:br/>
        <w:t>• Publishing Pipeline: Submitting the draft generates an invoice ID (VEC-INV-2026-XXXX), clears selection arrays, and posts confirmation.</w:t>
      </w:r>
    </w:p>
    <w:p>
      <w:pPr>
        <w:spacing w:after="240"/>
      </w:pPr>
    </w:p>
    <w:p>
      <w:pPr>
        <w:pStyle w:val="Heading1"/>
      </w:pPr>
      <w:r>
        <w:t>6. Role 5: Client / Vendor Accounts Payable Portal</w:t>
      </w:r>
    </w:p>
    <w:p>
      <w:pPr>
        <w:pStyle w:val="Heading2"/>
      </w:pPr>
      <w:r>
        <w:t>6.1 Core Objective</w:t>
      </w:r>
    </w:p>
    <w:p>
      <w:r>
        <w:t>An external, client-facing self-service portal for enterprise customers (e.g. Metro Cash &amp; Carry) to inspect inbound freight invoices, examine digital POD receipts, raise itemized line disputes, and approve settlements.</w:t>
      </w:r>
    </w:p>
    <w:p>
      <w:pPr>
        <w:pStyle w:val="Heading2"/>
      </w:pPr>
      <w:r>
        <w:t>6.2 Architectural &amp; UI/UX Design Rationale</w:t>
      </w:r>
    </w:p>
    <w:p>
      <w:r>
        <w:t>• Differentiated Client Branding: Features a light-slate/white sidebar with client corporate insignia (Metro Cash &amp; Carry, Consignee ID AP-IND-01), establishing trust for an external portal.</w:t>
        <w:br/>
        <w:t>• Non-Destructive Inline Dispute Design: Rather than rejecting an entire invoice over a single damaged pallet, client managers can dispute specific line items while approving clean lines, preventing carrier cash flow disruption.</w:t>
      </w:r>
    </w:p>
    <w:p>
      <w:pPr>
        <w:pStyle w:val="Heading2"/>
      </w:pPr>
      <w:r>
        <w:t>6.3 Key Features &amp; Components</w:t>
      </w:r>
    </w:p>
    <w:p>
      <w:r>
        <w:t>• Client AP Header: Welcome banner ('Welcome, Metro Finance Team'), vendor reference, and financial metrics pill.</w:t>
        <w:br/>
        <w:t>• Invoice Inbox Grid: Table displaying incoming freight invoices, issue dates, payment due dates, gross amounts, and status badges.</w:t>
        <w:br/>
        <w:t>• Invoice Deep-Dive Modal (Dialog): Wide modal displaying invoice header summary and an itemized breakdown of trips.</w:t>
        <w:br/>
        <w:t>• 'View POD' Action: Expands a verified delivery card showing the warehouse gate dock stamp and the receiver's glass digital signature.</w:t>
        <w:br/>
        <w:t>• Interactive Inline Dispute Drawer: Expands seamlessly beneath the target consignment row with dispute grounds dropdown, deduction amount input, and comments textarea.</w:t>
        <w:br/>
        <w:t>• Dynamic Approval Action Button: Switches between 'Approve Invoice for Payment' and 'Approve with Debit Note (₹XX,XXX)'.</w:t>
      </w:r>
    </w:p>
    <w:p>
      <w:pPr>
        <w:pStyle w:val="Heading2"/>
      </w:pPr>
      <w:r>
        <w:t>6.4 State &amp; Data Flow (Frontend Logic)</w:t>
      </w:r>
    </w:p>
    <w:p>
      <w:r>
        <w:t>• Hierarchical Immutability: Invoice line modifications update nested trip structures through immutable state mappings, ensuring parent table and modal metrics remain synchronized.</w:t>
        <w:br/>
        <w:t>• Net Payable Calculation Engine: Net Payable Authorized = max(0, Gross Amount - Sum(Dispute Amounts)).</w:t>
        <w:br/>
        <w:t>• Conditional Badge State: When any line item contains isDisputed: true, the invoice status automatically updates from 'Pending Approval' to 'Partially Disputed'.</w:t>
      </w:r>
    </w:p>
    <w:p>
      <w:pPr>
        <w:spacing w:after="320"/>
      </w:pPr>
    </w:p>
    <w:p>
      <w:pPr>
        <w:pStyle w:val="Heading1"/>
      </w:pPr>
      <w:r>
        <w:t>7. Complete Frontend Stack &amp; Dependencies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Role &amp; Application in Architecture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Framework</w:t>
            </w:r>
          </w:p>
        </w:tc>
        <w:tc>
          <w:tcPr>
            <w:tcW w:type="dxa" w:w="3120"/>
          </w:tcPr>
          <w:p>
            <w:r>
              <w:t>Next.js 14 (App Router)</w:t>
            </w:r>
          </w:p>
        </w:tc>
        <w:tc>
          <w:tcPr>
            <w:tcW w:type="dxa" w:w="3120"/>
          </w:tcPr>
          <w:p>
            <w:r>
              <w:t>File-based routing with 'use client' stateful modals and interactive components.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b/>
              </w:rPr>
              <w:t>Styling</w:t>
            </w:r>
          </w:p>
        </w:tc>
        <w:tc>
          <w:tcPr>
            <w:tcW w:type="dxa" w:w="3120"/>
            <w:shd w:fill="F8FAFC"/>
          </w:tcPr>
          <w:p>
            <w:r>
              <w:t>Tailwind CSS</w:t>
            </w:r>
          </w:p>
        </w:tc>
        <w:tc>
          <w:tcPr>
            <w:tcW w:type="dxa" w:w="3120"/>
            <w:shd w:fill="F8FAFC"/>
          </w:tcPr>
          <w:p>
            <w:r>
              <w:t>Utility-first classes, high-density layouts, custom scrollbars, and responsive breakpoints.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UI Primitives</w:t>
            </w:r>
          </w:p>
        </w:tc>
        <w:tc>
          <w:tcPr>
            <w:tcW w:type="dxa" w:w="3120"/>
          </w:tcPr>
          <w:p>
            <w:r>
              <w:t>shadcn/ui (Radix UI)</w:t>
            </w:r>
          </w:p>
        </w:tc>
        <w:tc>
          <w:tcPr>
            <w:tcW w:type="dxa" w:w="3120"/>
          </w:tcPr>
          <w:p>
            <w:r>
              <w:t>Accessible Table, Dialog, Card, Badge, Checkbox, Tabs, Textarea, and Separator.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b/>
              </w:rPr>
              <w:t>Iconography</w:t>
            </w:r>
          </w:p>
        </w:tc>
        <w:tc>
          <w:tcPr>
            <w:tcW w:type="dxa" w:w="3120"/>
            <w:shd w:fill="F8FAFC"/>
          </w:tcPr>
          <w:p>
            <w:r>
              <w:t>Lucide React</w:t>
            </w:r>
          </w:p>
        </w:tc>
        <w:tc>
          <w:tcPr>
            <w:tcW w:type="dxa" w:w="3120"/>
            <w:shd w:fill="F8FAFC"/>
          </w:tcPr>
          <w:p>
            <w:r>
              <w:t>Standardized vector iconography for fleet vehicles, routes, verification stamps, and telematics.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Typography</w:t>
            </w:r>
          </w:p>
        </w:tc>
        <w:tc>
          <w:tcPr>
            <w:tcW w:type="dxa" w:w="3120"/>
          </w:tcPr>
          <w:p>
            <w:r>
              <w:t>Inter &amp; Tabular Monospace</w:t>
            </w:r>
          </w:p>
        </w:tc>
        <w:tc>
          <w:tcPr>
            <w:tcW w:type="dxa" w:w="3120"/>
          </w:tcPr>
          <w:p>
            <w:r>
              <w:t>High legibility sans-serif paired with monospace fonts for vertical currency alignment.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b/>
              </w:rPr>
              <w:t>State Management</w:t>
            </w:r>
          </w:p>
        </w:tc>
        <w:tc>
          <w:tcPr>
            <w:tcW w:type="dxa" w:w="3120"/>
            <w:shd w:fill="F8FAFC"/>
          </w:tcPr>
          <w:p>
            <w:r>
              <w:t>React Hooks (useState, useMemo, useRef)</w:t>
            </w:r>
          </w:p>
        </w:tc>
        <w:tc>
          <w:tcPr>
            <w:tcW w:type="dxa" w:w="3120"/>
            <w:shd w:fill="F8FAFC"/>
          </w:tcPr>
          <w:p>
            <w:r>
              <w:t>Zero-latency client-side filtering, EOD tally reconciliation, and canvas signing.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