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BlueStone Real Estate Platform</w:t>
        <w:br/>
        <w:t>Data Science Distinction-Level Submission</w:t>
        <w:br/>
        <w:t>Machine Learning Feasibility Architecture</w:t>
      </w:r>
    </w:p>
    <w:p>
      <w:r>
        <w:t>Project Phase: Analytical Feasibility &amp; Conceptual ML Design</w:t>
      </w:r>
    </w:p>
    <w:p>
      <w:r>
        <w:t>Teams Integrated: Data Engineering • Data Analytics • Data Science</w:t>
      </w:r>
    </w:p>
    <w:p/>
    <w:p>
      <w:pPr>
        <w:pStyle w:val="Heading1"/>
      </w:pPr>
      <w:r>
        <w:t>1. Executive Summary</w:t>
      </w:r>
    </w:p>
    <w:p>
      <w:r>
        <w:t>This report presents a feasibility-level Machine Learning architecture for the BlueStone Real Estate analytics platform. The objective is to demonstrate how predictive analytics could support property valuation, customer engagement optimization, and market intelligence using the datasets delivered by the Data Engineering and Data Analytics teams. The design deliberately avoids production system implementation in order to align with the project’s defined scope and the RAID Log mitigation strategy addressing Risk R4 (Overestimation of ML complexity). The proposed framework focuses on conceptual architecture, feature engineering strategy, baseline modelling feasibility, and integration pathways for decision-support dashboards.</w:t>
      </w:r>
    </w:p>
    <w:p>
      <w:pPr>
        <w:pStyle w:val="Heading1"/>
      </w:pPr>
      <w:r>
        <w:t>2. Business Objectives for ML</w:t>
      </w:r>
    </w:p>
    <w:p>
      <w:pPr>
        <w:pStyle w:val="ListBullet"/>
      </w:pPr>
      <w:r>
        <w:t>Improve property valuation accuracy using historical price patterns and property attributes.</w:t>
      </w:r>
    </w:p>
    <w:p>
      <w:pPr>
        <w:pStyle w:val="ListBullet"/>
      </w:pPr>
      <w:r>
        <w:t>Prioritize high-potential customer inquiries for faster sales conversion.</w:t>
      </w:r>
    </w:p>
    <w:p>
      <w:pPr>
        <w:pStyle w:val="ListBullet"/>
      </w:pPr>
      <w:r>
        <w:t>Recommend relevant property listings to users based on preferences and budget.</w:t>
      </w:r>
    </w:p>
    <w:p>
      <w:pPr>
        <w:pStyle w:val="ListBullet"/>
      </w:pPr>
      <w:r>
        <w:t>Generate market insights to support pricing strategy and investment decisions.</w:t>
      </w:r>
    </w:p>
    <w:p>
      <w:pPr>
        <w:pStyle w:val="Heading1"/>
      </w:pPr>
      <w:r>
        <w:t>3. Data Sources Provided by Data Engineering</w:t>
      </w:r>
    </w:p>
    <w:p>
      <w:pPr>
        <w:pStyle w:val="ListBullet"/>
      </w:pPr>
      <w:r>
        <w:t>Property Listings Dataset – structural attributes, listing metadata, property location.</w:t>
      </w:r>
    </w:p>
    <w:p>
      <w:pPr>
        <w:pStyle w:val="ListBullet"/>
      </w:pPr>
      <w:r>
        <w:t>Property Price History – historical pricing changes and market signals.</w:t>
      </w:r>
    </w:p>
    <w:p>
      <w:pPr>
        <w:pStyle w:val="ListBullet"/>
      </w:pPr>
      <w:r>
        <w:t>Users Dataset – customer demographics and preference indicators.</w:t>
      </w:r>
    </w:p>
    <w:p>
      <w:pPr>
        <w:pStyle w:val="ListBullet"/>
      </w:pPr>
      <w:r>
        <w:t>Customer Inquiries Dataset – engagement records and interaction signals.</w:t>
      </w:r>
    </w:p>
    <w:p>
      <w:pPr>
        <w:pStyle w:val="ListBullet"/>
      </w:pPr>
      <w:r>
        <w:t>Agents Dataset – operational performance and transaction involvement.</w:t>
      </w:r>
    </w:p>
    <w:p>
      <w:pPr>
        <w:pStyle w:val="Heading1"/>
      </w:pPr>
      <w:r>
        <w:t>4. Conceptual Machine Learning Architecture</w:t>
      </w:r>
    </w:p>
    <w:p>
      <w:r>
        <w:t>The following conceptual workflow illustrates how ML analytics would operate within the BlueStone data platform. This architecture is intended purely for analytical feasibility demonstration and not production deployment.</w:t>
      </w:r>
    </w:p>
    <w:p>
      <w:pPr>
        <w:pStyle w:val="ListNumber"/>
      </w:pPr>
      <w:r>
        <w:t>Step 1 – Curated datasets delivered from the Data Engineering layer.</w:t>
      </w:r>
    </w:p>
    <w:p>
      <w:pPr>
        <w:pStyle w:val="ListNumber"/>
      </w:pPr>
      <w:r>
        <w:t>Step 2 – Schema validation and dataset profiling.</w:t>
      </w:r>
    </w:p>
    <w:p>
      <w:pPr>
        <w:pStyle w:val="ListNumber"/>
      </w:pPr>
      <w:r>
        <w:t>Step 3 – Data quality checks including null analysis and outlier detection.</w:t>
      </w:r>
    </w:p>
    <w:p>
      <w:pPr>
        <w:pStyle w:val="ListNumber"/>
      </w:pPr>
      <w:r>
        <w:t>Step 4 – Data integration across listings, inquiries, users, and price history.</w:t>
      </w:r>
    </w:p>
    <w:p>
      <w:pPr>
        <w:pStyle w:val="ListNumber"/>
      </w:pPr>
      <w:r>
        <w:t>Step 5 – Feature engineering aligned with business signals.</w:t>
      </w:r>
    </w:p>
    <w:p>
      <w:pPr>
        <w:pStyle w:val="ListNumber"/>
      </w:pPr>
      <w:r>
        <w:t>Step 6 – Baseline model experimentation.</w:t>
      </w:r>
    </w:p>
    <w:p>
      <w:pPr>
        <w:pStyle w:val="ListNumber"/>
      </w:pPr>
      <w:r>
        <w:t>Step 7 – Performance evaluation using statistical metrics.</w:t>
      </w:r>
    </w:p>
    <w:p>
      <w:pPr>
        <w:pStyle w:val="ListNumber"/>
      </w:pPr>
      <w:r>
        <w:t>Step 8 – Integration of insights into BI dashboards.</w:t>
      </w:r>
    </w:p>
    <w:p>
      <w:pPr>
        <w:pStyle w:val="Heading1"/>
      </w:pPr>
      <w:r>
        <w:t>5. Feature Engineering Strategy</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Source Dataset</w:t>
            </w:r>
          </w:p>
        </w:tc>
        <w:tc>
          <w:tcPr>
            <w:tcW w:type="dxa" w:w="2340"/>
          </w:tcPr>
          <w:p>
            <w:r>
              <w:t>Calculation</w:t>
            </w:r>
          </w:p>
        </w:tc>
        <w:tc>
          <w:tcPr>
            <w:tcW w:type="dxa" w:w="2340"/>
          </w:tcPr>
          <w:p>
            <w:r>
              <w:t>Business Value</w:t>
            </w:r>
          </w:p>
        </w:tc>
      </w:tr>
      <w:tr>
        <w:tc>
          <w:tcPr>
            <w:tcW w:type="dxa" w:w="2340"/>
          </w:tcPr>
          <w:p>
            <w:r>
              <w:t>Price per Square Foot</w:t>
            </w:r>
          </w:p>
        </w:tc>
        <w:tc>
          <w:tcPr>
            <w:tcW w:type="dxa" w:w="2340"/>
          </w:tcPr>
          <w:p>
            <w:r>
              <w:t>Listings + Price History</w:t>
            </w:r>
          </w:p>
        </w:tc>
        <w:tc>
          <w:tcPr>
            <w:tcW w:type="dxa" w:w="2340"/>
          </w:tcPr>
          <w:p>
            <w:r>
              <w:t>Price / Property Size</w:t>
            </w:r>
          </w:p>
        </w:tc>
        <w:tc>
          <w:tcPr>
            <w:tcW w:type="dxa" w:w="2340"/>
          </w:tcPr>
          <w:p>
            <w:r>
              <w:t>Improves valuation precision</w:t>
            </w:r>
          </w:p>
        </w:tc>
      </w:tr>
      <w:tr>
        <w:tc>
          <w:tcPr>
            <w:tcW w:type="dxa" w:w="2340"/>
          </w:tcPr>
          <w:p>
            <w:r>
              <w:t>Property Age</w:t>
            </w:r>
          </w:p>
        </w:tc>
        <w:tc>
          <w:tcPr>
            <w:tcW w:type="dxa" w:w="2340"/>
          </w:tcPr>
          <w:p>
            <w:r>
              <w:t>Listings</w:t>
            </w:r>
          </w:p>
        </w:tc>
        <w:tc>
          <w:tcPr>
            <w:tcW w:type="dxa" w:w="2340"/>
          </w:tcPr>
          <w:p>
            <w:r>
              <w:t>Current Year - Construction Year</w:t>
            </w:r>
          </w:p>
        </w:tc>
        <w:tc>
          <w:tcPr>
            <w:tcW w:type="dxa" w:w="2340"/>
          </w:tcPr>
          <w:p>
            <w:r>
              <w:t>Captures depreciation trends</w:t>
            </w:r>
          </w:p>
        </w:tc>
      </w:tr>
      <w:tr>
        <w:tc>
          <w:tcPr>
            <w:tcW w:type="dxa" w:w="2340"/>
          </w:tcPr>
          <w:p>
            <w:r>
              <w:t>User Budget Midpoint</w:t>
            </w:r>
          </w:p>
        </w:tc>
        <w:tc>
          <w:tcPr>
            <w:tcW w:type="dxa" w:w="2340"/>
          </w:tcPr>
          <w:p>
            <w:r>
              <w:t>Users</w:t>
            </w:r>
          </w:p>
        </w:tc>
        <w:tc>
          <w:tcPr>
            <w:tcW w:type="dxa" w:w="2340"/>
          </w:tcPr>
          <w:p>
            <w:r>
              <w:t>(Min Budget + Max Budget) / 2</w:t>
            </w:r>
          </w:p>
        </w:tc>
        <w:tc>
          <w:tcPr>
            <w:tcW w:type="dxa" w:w="2340"/>
          </w:tcPr>
          <w:p>
            <w:r>
              <w:t>Improves recommendation targeting</w:t>
            </w:r>
          </w:p>
        </w:tc>
      </w:tr>
      <w:tr>
        <w:tc>
          <w:tcPr>
            <w:tcW w:type="dxa" w:w="2340"/>
          </w:tcPr>
          <w:p>
            <w:r>
              <w:t>Inquiry Volume</w:t>
            </w:r>
          </w:p>
        </w:tc>
        <w:tc>
          <w:tcPr>
            <w:tcW w:type="dxa" w:w="2340"/>
          </w:tcPr>
          <w:p>
            <w:r>
              <w:t>Customer Inquiries</w:t>
            </w:r>
          </w:p>
        </w:tc>
        <w:tc>
          <w:tcPr>
            <w:tcW w:type="dxa" w:w="2340"/>
          </w:tcPr>
          <w:p>
            <w:r>
              <w:t>Count of inquiries per property</w:t>
            </w:r>
          </w:p>
        </w:tc>
        <w:tc>
          <w:tcPr>
            <w:tcW w:type="dxa" w:w="2340"/>
          </w:tcPr>
          <w:p>
            <w:r>
              <w:t>Signals market demand</w:t>
            </w:r>
          </w:p>
        </w:tc>
      </w:tr>
      <w:tr>
        <w:tc>
          <w:tcPr>
            <w:tcW w:type="dxa" w:w="2340"/>
          </w:tcPr>
          <w:p>
            <w:r>
              <w:t>Geo Location Cluster</w:t>
            </w:r>
          </w:p>
        </w:tc>
        <w:tc>
          <w:tcPr>
            <w:tcW w:type="dxa" w:w="2340"/>
          </w:tcPr>
          <w:p>
            <w:r>
              <w:t>Listings Coordinates</w:t>
            </w:r>
          </w:p>
        </w:tc>
        <w:tc>
          <w:tcPr>
            <w:tcW w:type="dxa" w:w="2340"/>
          </w:tcPr>
          <w:p>
            <w:r>
              <w:t>Clustering using latitude/longitude</w:t>
            </w:r>
          </w:p>
        </w:tc>
        <w:tc>
          <w:tcPr>
            <w:tcW w:type="dxa" w:w="2340"/>
          </w:tcPr>
          <w:p>
            <w:r>
              <w:t>Captures regional pricing patterns</w:t>
            </w:r>
          </w:p>
        </w:tc>
      </w:tr>
    </w:tbl>
    <w:p>
      <w:pPr>
        <w:pStyle w:val="Heading1"/>
      </w:pPr>
      <w:r>
        <w:t>6. Baseline Modelling Approach</w:t>
      </w:r>
    </w:p>
    <w:p>
      <w:pPr>
        <w:pStyle w:val="ListBullet"/>
      </w:pPr>
      <w:r>
        <w:t>Linear Regression – baseline property price prediction.</w:t>
      </w:r>
    </w:p>
    <w:p>
      <w:pPr>
        <w:pStyle w:val="ListBullet"/>
      </w:pPr>
      <w:r>
        <w:t>Decision Tree – interpretable non-linear relationship detection.</w:t>
      </w:r>
    </w:p>
    <w:p>
      <w:pPr>
        <w:pStyle w:val="ListBullet"/>
      </w:pPr>
      <w:r>
        <w:t>Random Forest – ensemble modelling for improved predictive stability.</w:t>
      </w:r>
    </w:p>
    <w:p>
      <w:pPr>
        <w:pStyle w:val="ListBullet"/>
      </w:pPr>
      <w:r>
        <w:t>Similarity-based recommendation model – ranking properties for users.</w:t>
      </w:r>
    </w:p>
    <w:p>
      <w:pPr>
        <w:pStyle w:val="Heading1"/>
      </w:pPr>
      <w:r>
        <w:t>7. Evaluation Metrics</w:t>
      </w:r>
    </w:p>
    <w:p>
      <w:pPr>
        <w:pStyle w:val="ListBullet"/>
      </w:pPr>
      <w:r>
        <w:t>R² – goodness-of-fit for price prediction models.</w:t>
      </w:r>
    </w:p>
    <w:p>
      <w:pPr>
        <w:pStyle w:val="ListBullet"/>
      </w:pPr>
      <w:r>
        <w:t>RMSE – prediction error magnitude.</w:t>
      </w:r>
    </w:p>
    <w:p>
      <w:pPr>
        <w:pStyle w:val="ListBullet"/>
      </w:pPr>
      <w:r>
        <w:t>Precision and Recall – evaluation for lead prioritization.</w:t>
      </w:r>
    </w:p>
    <w:p>
      <w:pPr>
        <w:pStyle w:val="ListBullet"/>
      </w:pPr>
      <w:r>
        <w:t>Engagement improvement indicators using inquiry activity.</w:t>
      </w:r>
    </w:p>
    <w:p>
      <w:pPr>
        <w:pStyle w:val="Heading1"/>
      </w:pPr>
      <w:r>
        <w:t>8. Risk Alignment with RAID Log</w:t>
      </w:r>
    </w:p>
    <w:p>
      <w:pPr>
        <w:pStyle w:val="ListBullet"/>
      </w:pPr>
      <w:r>
        <w:t>R4 – Overestimation of ML complexity mitigated through feasibility-level modelling only.</w:t>
      </w:r>
    </w:p>
    <w:p>
      <w:pPr>
        <w:pStyle w:val="ListBullet"/>
      </w:pPr>
      <w:r>
        <w:t>Cross-team dependency risks managed through staged architecture design.</w:t>
      </w:r>
    </w:p>
    <w:p>
      <w:pPr>
        <w:pStyle w:val="ListBullet"/>
      </w:pPr>
      <w:r>
        <w:t>Dataset assumptions documented and traceable to data engineering outputs.</w:t>
      </w:r>
    </w:p>
    <w:p>
      <w:pPr>
        <w:pStyle w:val="Heading1"/>
      </w:pPr>
      <w:r>
        <w:t>9. Analytical Design Advantages</w:t>
      </w:r>
    </w:p>
    <w:p>
      <w:pPr>
        <w:pStyle w:val="ListBullet"/>
      </w:pPr>
      <w:r>
        <w:t>Strict alignment with project feasibility scope.</w:t>
      </w:r>
    </w:p>
    <w:p>
      <w:pPr>
        <w:pStyle w:val="ListBullet"/>
      </w:pPr>
      <w:r>
        <w:t>Feature traceability directly mapped to validated datasets.</w:t>
      </w:r>
    </w:p>
    <w:p>
      <w:pPr>
        <w:pStyle w:val="ListBullet"/>
      </w:pPr>
      <w:r>
        <w:t>Balanced modelling approach combining interpretability and predictive power.</w:t>
      </w:r>
    </w:p>
    <w:p>
      <w:pPr>
        <w:pStyle w:val="ListBullet"/>
      </w:pPr>
      <w:r>
        <w:t>Integration-ready insights designed for BI and decision support systems.</w:t>
      </w:r>
    </w:p>
    <w:p>
      <w:pPr>
        <w:pStyle w:val="Heading1"/>
      </w:pPr>
      <w:r>
        <w:t>10. Conclusion</w:t>
      </w:r>
    </w:p>
    <w:p>
      <w:r>
        <w:t>This feasibility architecture demonstrates how BlueStone could leverage machine learning to enhance real estate decision-making without prematurely committing to full production AI systems. The framework establishes a realistic pathway toward data-driven property valuation, customer engagement optimization, and market intelligence.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