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BlueStone Real Estate Platform</w:t>
        <w:br/>
        <w:t>Integrated Data Science Submission Pack</w:t>
      </w:r>
    </w:p>
    <w:p>
      <w:r>
        <w:t>Machine Learning Feasibility Plan • Feature Traceability • Workflow Architecture • Executive Summary</w:t>
      </w:r>
    </w:p>
    <w:p/>
    <w:p>
      <w:pPr>
        <w:pStyle w:val="Heading1"/>
      </w:pPr>
      <w:r>
        <w:t>1. Executive Summary</w:t>
      </w:r>
    </w:p>
    <w:p>
      <w:r>
        <w:t>This submission outlines the Data Science feasibility design for the BlueStone Real Estate analytics platform. The objective is to demonstrate how machine learning techniques could enhance property valuation, lead prioritization, and customer recommendation processes using the datasets supplied by Data Engineering and validated by Data Analytics. The design adheres strictly to the project’s feasibility scope and mitigates RAID Risk R4 by limiting complexity to conceptual and baseline modelling levels.</w:t>
      </w:r>
    </w:p>
    <w:p>
      <w:pPr>
        <w:pStyle w:val="Heading1"/>
      </w:pPr>
      <w:r>
        <w:t>2. Conceptual ML Workflow</w:t>
      </w:r>
    </w:p>
    <w:p>
      <w:pPr>
        <w:pStyle w:val="ListNumber"/>
      </w:pPr>
      <w:r>
        <w:t>1. Data Ingestion – curated datasets received from Data Engineering</w:t>
      </w:r>
    </w:p>
    <w:p>
      <w:pPr>
        <w:pStyle w:val="ListNumber"/>
      </w:pPr>
      <w:r>
        <w:t>2. Schema Validation – field mapping and metadata review</w:t>
      </w:r>
    </w:p>
    <w:p>
      <w:pPr>
        <w:pStyle w:val="ListNumber"/>
      </w:pPr>
      <w:r>
        <w:t>3. Data Quality Checks – null validation, outlier checks</w:t>
      </w:r>
    </w:p>
    <w:p>
      <w:pPr>
        <w:pStyle w:val="ListNumber"/>
      </w:pPr>
      <w:r>
        <w:t>4. Data Integration – merging listings, inquiries, users, and transactions</w:t>
      </w:r>
    </w:p>
    <w:p>
      <w:pPr>
        <w:pStyle w:val="ListNumber"/>
      </w:pPr>
      <w:r>
        <w:t>5. Feature Engineering – price ratios, engagement metrics, geo clusters</w:t>
      </w:r>
    </w:p>
    <w:p>
      <w:pPr>
        <w:pStyle w:val="ListNumber"/>
      </w:pPr>
      <w:r>
        <w:t>6. Baseline Modelling – regression and classification experimentation</w:t>
      </w:r>
    </w:p>
    <w:p>
      <w:pPr>
        <w:pStyle w:val="ListNumber"/>
      </w:pPr>
      <w:r>
        <w:t>7. Evaluation – RMSE, R², Precision/Recall metrics</w:t>
      </w:r>
    </w:p>
    <w:p>
      <w:pPr>
        <w:pStyle w:val="ListNumber"/>
      </w:pPr>
      <w:r>
        <w:t>8. Insight Delivery – outputs integrated into BI dashboards</w:t>
      </w:r>
    </w:p>
    <w:p>
      <w:pPr>
        <w:pStyle w:val="Heading1"/>
      </w:pPr>
      <w:r>
        <w:t>3. Feature to Dataset Mapping</w:t>
      </w:r>
    </w:p>
    <w:tbl>
      <w:tblPr>
        <w:tblW w:type="auto" w:w="0"/>
        <w:jc w:val="center"/>
        <w:tblLook w:firstColumn="1" w:firstRow="1" w:lastColumn="0" w:lastRow="0" w:noHBand="0" w:noVBand="1" w:val="04A0"/>
      </w:tblPr>
      <w:tblGrid>
        <w:gridCol w:w="3120"/>
        <w:gridCol w:w="3120"/>
        <w:gridCol w:w="3120"/>
      </w:tblGrid>
      <w:tr>
        <w:tc>
          <w:tcPr>
            <w:tcW w:type="dxa" w:w="3120"/>
          </w:tcPr>
          <w:p>
            <w:r>
              <w:t>Feature</w:t>
            </w:r>
          </w:p>
        </w:tc>
        <w:tc>
          <w:tcPr>
            <w:tcW w:type="dxa" w:w="3120"/>
          </w:tcPr>
          <w:p>
            <w:r>
              <w:t>Derived From Dataset</w:t>
            </w:r>
          </w:p>
        </w:tc>
        <w:tc>
          <w:tcPr>
            <w:tcW w:type="dxa" w:w="3120"/>
          </w:tcPr>
          <w:p>
            <w:r>
              <w:t>Purpose</w:t>
            </w:r>
          </w:p>
        </w:tc>
      </w:tr>
      <w:tr>
        <w:tc>
          <w:tcPr>
            <w:tcW w:type="dxa" w:w="3120"/>
          </w:tcPr>
          <w:p>
            <w:r>
              <w:t>Price per Square Foot</w:t>
            </w:r>
          </w:p>
        </w:tc>
        <w:tc>
          <w:tcPr>
            <w:tcW w:type="dxa" w:w="3120"/>
          </w:tcPr>
          <w:p>
            <w:r>
              <w:t>Listings + Property Price History</w:t>
            </w:r>
          </w:p>
        </w:tc>
        <w:tc>
          <w:tcPr>
            <w:tcW w:type="dxa" w:w="3120"/>
          </w:tcPr>
          <w:p>
            <w:r>
              <w:t>Improve valuation model accuracy</w:t>
            </w:r>
          </w:p>
        </w:tc>
      </w:tr>
      <w:tr>
        <w:tc>
          <w:tcPr>
            <w:tcW w:type="dxa" w:w="3120"/>
          </w:tcPr>
          <w:p>
            <w:r>
              <w:t>Property Age</w:t>
            </w:r>
          </w:p>
        </w:tc>
        <w:tc>
          <w:tcPr>
            <w:tcW w:type="dxa" w:w="3120"/>
          </w:tcPr>
          <w:p>
            <w:r>
              <w:t>Listings dataset</w:t>
            </w:r>
          </w:p>
        </w:tc>
        <w:tc>
          <w:tcPr>
            <w:tcW w:type="dxa" w:w="3120"/>
          </w:tcPr>
          <w:p>
            <w:r>
              <w:t>Capture depreciation effects</w:t>
            </w:r>
          </w:p>
        </w:tc>
      </w:tr>
      <w:tr>
        <w:tc>
          <w:tcPr>
            <w:tcW w:type="dxa" w:w="3120"/>
          </w:tcPr>
          <w:p>
            <w:r>
              <w:t>User Budget Midpoint</w:t>
            </w:r>
          </w:p>
        </w:tc>
        <w:tc>
          <w:tcPr>
            <w:tcW w:type="dxa" w:w="3120"/>
          </w:tcPr>
          <w:p>
            <w:r>
              <w:t>Users dataset</w:t>
            </w:r>
          </w:p>
        </w:tc>
        <w:tc>
          <w:tcPr>
            <w:tcW w:type="dxa" w:w="3120"/>
          </w:tcPr>
          <w:p>
            <w:r>
              <w:t>Improve recommendation filtering</w:t>
            </w:r>
          </w:p>
        </w:tc>
      </w:tr>
      <w:tr>
        <w:tc>
          <w:tcPr>
            <w:tcW w:type="dxa" w:w="3120"/>
          </w:tcPr>
          <w:p>
            <w:r>
              <w:t>Inquiry Frequency</w:t>
            </w:r>
          </w:p>
        </w:tc>
        <w:tc>
          <w:tcPr>
            <w:tcW w:type="dxa" w:w="3120"/>
          </w:tcPr>
          <w:p>
            <w:r>
              <w:t>Customer Inquiries dataset</w:t>
            </w:r>
          </w:p>
        </w:tc>
        <w:tc>
          <w:tcPr>
            <w:tcW w:type="dxa" w:w="3120"/>
          </w:tcPr>
          <w:p>
            <w:r>
              <w:t>Lead prioritization signal</w:t>
            </w:r>
          </w:p>
        </w:tc>
      </w:tr>
      <w:tr>
        <w:tc>
          <w:tcPr>
            <w:tcW w:type="dxa" w:w="3120"/>
          </w:tcPr>
          <w:p>
            <w:r>
              <w:t>Geo Cluster</w:t>
            </w:r>
          </w:p>
        </w:tc>
        <w:tc>
          <w:tcPr>
            <w:tcW w:type="dxa" w:w="3120"/>
          </w:tcPr>
          <w:p>
            <w:r>
              <w:t>Listings latitude/longitude</w:t>
            </w:r>
          </w:p>
        </w:tc>
        <w:tc>
          <w:tcPr>
            <w:tcW w:type="dxa" w:w="3120"/>
          </w:tcPr>
          <w:p>
            <w:r>
              <w:t>Location segmentation</w:t>
            </w:r>
          </w:p>
        </w:tc>
      </w:tr>
    </w:tbl>
    <w:p>
      <w:pPr>
        <w:pStyle w:val="Heading1"/>
      </w:pPr>
      <w:r>
        <w:t>4. Design Advantage vs Alternative Approaches</w:t>
      </w:r>
    </w:p>
    <w:p>
      <w:pPr>
        <w:pStyle w:val="ListBullet"/>
      </w:pPr>
      <w:r>
        <w:t>Strict alignment with feasibility scope avoids over-engineering risks.</w:t>
      </w:r>
    </w:p>
    <w:p>
      <w:pPr>
        <w:pStyle w:val="ListBullet"/>
      </w:pPr>
      <w:r>
        <w:t>Baseline modelling approach ensures realistic demonstration of ML value.</w:t>
      </w:r>
    </w:p>
    <w:p>
      <w:pPr>
        <w:pStyle w:val="ListBullet"/>
      </w:pPr>
      <w:r>
        <w:t>Feature definitions explicitly trace back to validated datasets.</w:t>
      </w:r>
    </w:p>
    <w:p>
      <w:pPr>
        <w:pStyle w:val="ListBullet"/>
      </w:pPr>
      <w:r>
        <w:t>Integration with BI dashboards prioritizes actionable insights for stakeholders.</w:t>
      </w:r>
    </w:p>
    <w:p>
      <w:pPr>
        <w:pStyle w:val="Heading1"/>
      </w:pPr>
      <w:r>
        <w:t>5. RAID Log Alignment</w:t>
      </w:r>
    </w:p>
    <w:p>
      <w:pPr>
        <w:pStyle w:val="ListBullet"/>
      </w:pPr>
      <w:r>
        <w:t>R4 – Overestimation of ML complexity mitigated through feasibility-level design.</w:t>
      </w:r>
    </w:p>
    <w:p>
      <w:pPr>
        <w:pStyle w:val="ListBullet"/>
      </w:pPr>
      <w:r>
        <w:t>Dataset variability managed by aligning features to confirmed schemas.</w:t>
      </w:r>
    </w:p>
    <w:p>
      <w:pPr>
        <w:pStyle w:val="ListBullet"/>
      </w:pPr>
      <w:r>
        <w:t>Cross-team dependencies acknowledged through staged workflow design.</w:t>
      </w:r>
    </w:p>
    <w:p>
      <w:pPr>
        <w:pStyle w:val="Heading1"/>
      </w:pPr>
      <w:r>
        <w:t>6. Conclusion</w:t>
      </w:r>
    </w:p>
    <w:p>
      <w:r>
        <w:t>This feasibility design demonstrates how BlueStone can evolve toward a data-driven real estate intelligence platform. By leveraging structured datasets, engineered features, and baseline modelling strategies, the proposed approach provides a clear pathway for future ML implementation while remaining aligned with current project scope and constraints.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