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6674" w14:textId="77777777" w:rsidR="00A62139" w:rsidRPr="006075F9" w:rsidRDefault="006075F9" w:rsidP="006075F9">
      <w:pPr>
        <w:pStyle w:val="Title"/>
        <w:jc w:val="center"/>
      </w:pPr>
      <w:bookmarkStart w:id="0" w:name="_Hlk174038860"/>
      <w:bookmarkEnd w:id="0"/>
      <w:r w:rsidRPr="006075F9">
        <w:t>Group 15</w:t>
      </w:r>
    </w:p>
    <w:p w14:paraId="242E4EDA" w14:textId="77777777" w:rsidR="006075F9" w:rsidRPr="006075F9" w:rsidRDefault="006075F9" w:rsidP="006075F9">
      <w:pPr>
        <w:pStyle w:val="Title"/>
        <w:jc w:val="center"/>
      </w:pPr>
      <w:r w:rsidRPr="006075F9">
        <w:t>Interactive Data Visualization</w:t>
      </w:r>
    </w:p>
    <w:p w14:paraId="1F93CB74" w14:textId="77BD6FFB" w:rsidR="006075F9" w:rsidRPr="006075F9" w:rsidRDefault="006075F9" w:rsidP="006075F9">
      <w:pPr>
        <w:pStyle w:val="Title"/>
        <w:jc w:val="center"/>
      </w:pPr>
      <w:r w:rsidRPr="006075F9">
        <w:t xml:space="preserve">Lab </w:t>
      </w:r>
      <w:r w:rsidR="009568DD">
        <w:t>3</w:t>
      </w:r>
    </w:p>
    <w:p w14:paraId="03F0D4D8" w14:textId="77777777" w:rsidR="006075F9" w:rsidRDefault="006075F9"/>
    <w:tbl>
      <w:tblPr>
        <w:tblStyle w:val="TableGrid"/>
        <w:tblW w:w="0" w:type="auto"/>
        <w:tblLook w:val="04A0" w:firstRow="1" w:lastRow="0" w:firstColumn="1" w:lastColumn="0" w:noHBand="0" w:noVBand="1"/>
      </w:tblPr>
      <w:tblGrid>
        <w:gridCol w:w="4508"/>
        <w:gridCol w:w="4508"/>
      </w:tblGrid>
      <w:tr w:rsidR="006075F9" w14:paraId="401BC34B" w14:textId="77777777" w:rsidTr="006075F9">
        <w:tc>
          <w:tcPr>
            <w:tcW w:w="4508" w:type="dxa"/>
          </w:tcPr>
          <w:p w14:paraId="492222AF" w14:textId="77777777" w:rsidR="006075F9" w:rsidRDefault="006075F9">
            <w:r>
              <w:t>Dhruvi Mehta</w:t>
            </w:r>
          </w:p>
        </w:tc>
        <w:tc>
          <w:tcPr>
            <w:tcW w:w="4508" w:type="dxa"/>
          </w:tcPr>
          <w:p w14:paraId="3D99609A" w14:textId="77777777" w:rsidR="006075F9" w:rsidRDefault="006075F9">
            <w:r>
              <w:t>202318003</w:t>
            </w:r>
          </w:p>
        </w:tc>
      </w:tr>
      <w:tr w:rsidR="006075F9" w14:paraId="0A6C6C24" w14:textId="77777777" w:rsidTr="006075F9">
        <w:tc>
          <w:tcPr>
            <w:tcW w:w="4508" w:type="dxa"/>
          </w:tcPr>
          <w:p w14:paraId="041FFBCD" w14:textId="77777777" w:rsidR="006075F9" w:rsidRDefault="006075F9">
            <w:r>
              <w:t>Prachi Mehta</w:t>
            </w:r>
          </w:p>
        </w:tc>
        <w:tc>
          <w:tcPr>
            <w:tcW w:w="4508" w:type="dxa"/>
          </w:tcPr>
          <w:p w14:paraId="5A0B9BFF" w14:textId="77777777" w:rsidR="006075F9" w:rsidRDefault="006075F9">
            <w:r>
              <w:t>202318008</w:t>
            </w:r>
          </w:p>
        </w:tc>
      </w:tr>
      <w:tr w:rsidR="006075F9" w14:paraId="4BD15B66" w14:textId="77777777" w:rsidTr="006075F9">
        <w:tc>
          <w:tcPr>
            <w:tcW w:w="4508" w:type="dxa"/>
          </w:tcPr>
          <w:p w14:paraId="7C7D6722" w14:textId="77777777" w:rsidR="006075F9" w:rsidRDefault="006075F9">
            <w:r>
              <w:t>Riya Dave</w:t>
            </w:r>
          </w:p>
        </w:tc>
        <w:tc>
          <w:tcPr>
            <w:tcW w:w="4508" w:type="dxa"/>
          </w:tcPr>
          <w:p w14:paraId="71EA7D2F" w14:textId="77777777" w:rsidR="006075F9" w:rsidRDefault="006075F9">
            <w:r>
              <w:t>202318011</w:t>
            </w:r>
          </w:p>
        </w:tc>
      </w:tr>
      <w:tr w:rsidR="006075F9" w14:paraId="45EF5F8F" w14:textId="77777777" w:rsidTr="006075F9">
        <w:tc>
          <w:tcPr>
            <w:tcW w:w="4508" w:type="dxa"/>
          </w:tcPr>
          <w:p w14:paraId="39AC447A" w14:textId="77777777" w:rsidR="006075F9" w:rsidRDefault="006075F9">
            <w:r>
              <w:t>Simran Dalvi</w:t>
            </w:r>
          </w:p>
        </w:tc>
        <w:tc>
          <w:tcPr>
            <w:tcW w:w="4508" w:type="dxa"/>
          </w:tcPr>
          <w:p w14:paraId="20CBCFCB" w14:textId="77777777" w:rsidR="006075F9" w:rsidRDefault="006075F9">
            <w:r>
              <w:t>202318042</w:t>
            </w:r>
          </w:p>
        </w:tc>
      </w:tr>
    </w:tbl>
    <w:p w14:paraId="0B31CF5D" w14:textId="77777777" w:rsidR="006075F9" w:rsidRDefault="006075F9"/>
    <w:p w14:paraId="10ECD12B" w14:textId="77777777" w:rsidR="006075F9" w:rsidRDefault="006075F9"/>
    <w:p w14:paraId="682122CE" w14:textId="77777777" w:rsidR="006075F9" w:rsidRDefault="006075F9">
      <w:pPr>
        <w:rPr>
          <w:rFonts w:asciiTheme="majorHAnsi" w:hAnsiTheme="majorHAnsi" w:cstheme="majorHAnsi"/>
          <w:sz w:val="40"/>
          <w:szCs w:val="40"/>
        </w:rPr>
      </w:pPr>
      <w:r w:rsidRPr="006075F9">
        <w:rPr>
          <w:rFonts w:asciiTheme="majorHAnsi" w:hAnsiTheme="majorHAnsi" w:cstheme="majorHAnsi"/>
          <w:sz w:val="40"/>
          <w:szCs w:val="40"/>
        </w:rPr>
        <w:t>Part 1</w:t>
      </w:r>
    </w:p>
    <w:p w14:paraId="2C375D46" w14:textId="36E44398" w:rsidR="009568DD" w:rsidRPr="00B37511" w:rsidRDefault="009568DD" w:rsidP="009568DD">
      <w:pPr>
        <w:pStyle w:val="ListParagraph"/>
        <w:numPr>
          <w:ilvl w:val="0"/>
          <w:numId w:val="23"/>
        </w:numPr>
        <w:rPr>
          <w:rFonts w:asciiTheme="majorHAnsi" w:hAnsiTheme="majorHAnsi" w:cstheme="majorHAnsi"/>
          <w:b/>
          <w:bCs/>
          <w:sz w:val="28"/>
          <w:szCs w:val="28"/>
          <w:u w:val="single"/>
        </w:rPr>
      </w:pPr>
      <w:r w:rsidRPr="00B37511">
        <w:rPr>
          <w:rFonts w:asciiTheme="majorHAnsi" w:hAnsiTheme="majorHAnsi" w:cstheme="majorHAnsi"/>
          <w:b/>
          <w:bCs/>
          <w:sz w:val="28"/>
          <w:szCs w:val="28"/>
          <w:u w:val="single"/>
        </w:rPr>
        <w:t>Scatterplot</w:t>
      </w:r>
    </w:p>
    <w:p w14:paraId="31834C2D" w14:textId="782DE63A" w:rsidR="009568DD" w:rsidRPr="00B37511" w:rsidRDefault="009568DD" w:rsidP="009568DD">
      <w:pPr>
        <w:pStyle w:val="ListParagraph"/>
        <w:ind w:left="750"/>
        <w:rPr>
          <w:rFonts w:asciiTheme="majorHAnsi" w:hAnsiTheme="majorHAnsi" w:cstheme="majorHAnsi"/>
          <w:sz w:val="24"/>
          <w:szCs w:val="24"/>
        </w:rPr>
      </w:pPr>
      <w:r w:rsidRPr="00B37511">
        <w:rPr>
          <w:rFonts w:asciiTheme="majorHAnsi" w:hAnsiTheme="majorHAnsi" w:cstheme="majorHAnsi"/>
          <w:noProof/>
          <w:sz w:val="24"/>
          <w:szCs w:val="24"/>
        </w:rPr>
        <w:drawing>
          <wp:inline distT="0" distB="0" distL="0" distR="0" wp14:anchorId="13E62859" wp14:editId="358E0223">
            <wp:extent cx="5731510" cy="3339465"/>
            <wp:effectExtent l="0" t="0" r="2540" b="0"/>
            <wp:docPr id="1060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904" name=""/>
                    <pic:cNvPicPr/>
                  </pic:nvPicPr>
                  <pic:blipFill>
                    <a:blip r:embed="rId5"/>
                    <a:stretch>
                      <a:fillRect/>
                    </a:stretch>
                  </pic:blipFill>
                  <pic:spPr>
                    <a:xfrm>
                      <a:off x="0" y="0"/>
                      <a:ext cx="5731510" cy="3339465"/>
                    </a:xfrm>
                    <a:prstGeom prst="rect">
                      <a:avLst/>
                    </a:prstGeom>
                  </pic:spPr>
                </pic:pic>
              </a:graphicData>
            </a:graphic>
          </wp:inline>
        </w:drawing>
      </w:r>
    </w:p>
    <w:p w14:paraId="443675E3" w14:textId="41A7C4BD" w:rsidR="00B37511" w:rsidRPr="00B37511" w:rsidRDefault="00B37511" w:rsidP="009568DD">
      <w:pPr>
        <w:pStyle w:val="ListParagraph"/>
        <w:ind w:left="750"/>
        <w:rPr>
          <w:rFonts w:asciiTheme="majorHAnsi" w:hAnsiTheme="majorHAnsi" w:cstheme="majorHAnsi"/>
          <w:sz w:val="24"/>
          <w:szCs w:val="24"/>
        </w:rPr>
      </w:pPr>
      <w:r w:rsidRPr="00B37511">
        <w:rPr>
          <w:rFonts w:asciiTheme="majorHAnsi" w:hAnsiTheme="majorHAnsi" w:cstheme="majorHAnsi"/>
          <w:sz w:val="24"/>
          <w:szCs w:val="24"/>
        </w:rPr>
        <w:t xml:space="preserve">The scatter plot reveals that the Consumer segment, though dominant in volume, has mixed profitability, with many instances of negative profits, suggesting a need for strategy refinement. The Corporate segment shows potential with some high sales, but the mixed profit outcomes indicate inefficiencies that need addressing. The Home Office segment, though smaller, has a few high-profit outliers, suggesting it could be leveraged for greater profitability. Overall, the Consumer segment requires a focus on improving efficiency, the </w:t>
      </w:r>
      <w:proofErr w:type="gramStart"/>
      <w:r w:rsidRPr="00B37511">
        <w:rPr>
          <w:rFonts w:asciiTheme="majorHAnsi" w:hAnsiTheme="majorHAnsi" w:cstheme="majorHAnsi"/>
          <w:sz w:val="24"/>
          <w:szCs w:val="24"/>
        </w:rPr>
        <w:t>Corporate</w:t>
      </w:r>
      <w:proofErr w:type="gramEnd"/>
      <w:r w:rsidRPr="00B37511">
        <w:rPr>
          <w:rFonts w:asciiTheme="majorHAnsi" w:hAnsiTheme="majorHAnsi" w:cstheme="majorHAnsi"/>
          <w:sz w:val="24"/>
          <w:szCs w:val="24"/>
        </w:rPr>
        <w:t xml:space="preserve"> segment on managing costs, and the Home Office segment on scaling successful strategies.</w:t>
      </w:r>
    </w:p>
    <w:p w14:paraId="01AEA9BA" w14:textId="77777777" w:rsidR="009568DD" w:rsidRPr="00B37511" w:rsidRDefault="009568DD" w:rsidP="009568DD">
      <w:pPr>
        <w:pStyle w:val="ListParagraph"/>
        <w:ind w:left="750"/>
        <w:rPr>
          <w:rFonts w:asciiTheme="majorHAnsi" w:hAnsiTheme="majorHAnsi" w:cstheme="majorHAnsi"/>
          <w:sz w:val="24"/>
          <w:szCs w:val="24"/>
        </w:rPr>
      </w:pPr>
    </w:p>
    <w:p w14:paraId="5C969E3C" w14:textId="0760E181" w:rsidR="009568DD" w:rsidRPr="00B37511" w:rsidRDefault="009568DD" w:rsidP="009568DD">
      <w:pPr>
        <w:pStyle w:val="ListParagraph"/>
        <w:ind w:left="750"/>
        <w:rPr>
          <w:rFonts w:asciiTheme="majorHAnsi" w:hAnsiTheme="majorHAnsi" w:cstheme="majorHAnsi"/>
          <w:sz w:val="24"/>
          <w:szCs w:val="24"/>
        </w:rPr>
      </w:pPr>
    </w:p>
    <w:p w14:paraId="2F0B846D" w14:textId="77777777" w:rsidR="00032CBC" w:rsidRPr="00B37511" w:rsidRDefault="00032CBC" w:rsidP="009568DD">
      <w:pPr>
        <w:pStyle w:val="ListParagraph"/>
        <w:ind w:left="750"/>
        <w:rPr>
          <w:rFonts w:asciiTheme="majorHAnsi" w:hAnsiTheme="majorHAnsi" w:cstheme="majorHAnsi"/>
          <w:sz w:val="24"/>
          <w:szCs w:val="24"/>
        </w:rPr>
      </w:pPr>
    </w:p>
    <w:p w14:paraId="3164E895" w14:textId="3EB3AE27" w:rsidR="00032CBC" w:rsidRPr="00B37511" w:rsidRDefault="00032CBC" w:rsidP="009568DD">
      <w:pPr>
        <w:pStyle w:val="ListParagraph"/>
        <w:ind w:left="750"/>
        <w:rPr>
          <w:rFonts w:asciiTheme="majorHAnsi" w:hAnsiTheme="majorHAnsi" w:cstheme="majorHAnsi"/>
          <w:sz w:val="24"/>
          <w:szCs w:val="24"/>
        </w:rPr>
      </w:pPr>
      <w:r w:rsidRPr="00B37511">
        <w:rPr>
          <w:rFonts w:asciiTheme="majorHAnsi" w:hAnsiTheme="majorHAnsi" w:cstheme="majorHAnsi"/>
          <w:noProof/>
          <w:sz w:val="24"/>
          <w:szCs w:val="24"/>
        </w:rPr>
        <w:drawing>
          <wp:inline distT="0" distB="0" distL="0" distR="0" wp14:anchorId="0E2CEB92" wp14:editId="61E4283C">
            <wp:extent cx="5390148" cy="3151917"/>
            <wp:effectExtent l="0" t="0" r="1270" b="0"/>
            <wp:docPr id="43791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13331" name=""/>
                    <pic:cNvPicPr/>
                  </pic:nvPicPr>
                  <pic:blipFill>
                    <a:blip r:embed="rId6"/>
                    <a:stretch>
                      <a:fillRect/>
                    </a:stretch>
                  </pic:blipFill>
                  <pic:spPr>
                    <a:xfrm>
                      <a:off x="0" y="0"/>
                      <a:ext cx="5401157" cy="3158355"/>
                    </a:xfrm>
                    <a:prstGeom prst="rect">
                      <a:avLst/>
                    </a:prstGeom>
                  </pic:spPr>
                </pic:pic>
              </a:graphicData>
            </a:graphic>
          </wp:inline>
        </w:drawing>
      </w:r>
    </w:p>
    <w:p w14:paraId="538F844F" w14:textId="77777777" w:rsidR="00B37511" w:rsidRDefault="0059279E" w:rsidP="00B37511">
      <w:pPr>
        <w:pStyle w:val="ListParagraph"/>
        <w:ind w:left="750"/>
        <w:rPr>
          <w:rFonts w:asciiTheme="majorHAnsi" w:hAnsiTheme="majorHAnsi" w:cstheme="majorHAnsi"/>
          <w:sz w:val="24"/>
          <w:szCs w:val="24"/>
        </w:rPr>
      </w:pPr>
      <w:r w:rsidRPr="00B37511">
        <w:rPr>
          <w:rFonts w:asciiTheme="majorHAnsi" w:hAnsiTheme="majorHAnsi" w:cstheme="majorHAnsi"/>
          <w:sz w:val="24"/>
          <w:szCs w:val="24"/>
        </w:rPr>
        <w:t>The scatter plot reveals key insights across the Furniture, Office Supplies, and Technology categories. Technology stands out, with high sales frequently leading to significant profits, though a few instances show negative returns. Office Supplies generally provide consistent, moderate profits with minimal losses, indicating steady performance. In contrast, the Furniture category displays more variability, with several sales leading to losses, despite high sales figures. To enhance profitability, focus should be on optimizing the Furniture category by addressing cost and pricing issues, while leveraging the strong performance in Technology and scaling successful strategies in Office Supplies</w:t>
      </w:r>
    </w:p>
    <w:p w14:paraId="2B479DB1" w14:textId="77777777" w:rsidR="00B37511" w:rsidRDefault="00B37511" w:rsidP="00B37511">
      <w:pPr>
        <w:pStyle w:val="ListParagraph"/>
        <w:ind w:left="750"/>
        <w:rPr>
          <w:rFonts w:asciiTheme="majorHAnsi" w:hAnsiTheme="majorHAnsi" w:cstheme="majorHAnsi"/>
          <w:sz w:val="24"/>
          <w:szCs w:val="24"/>
        </w:rPr>
      </w:pPr>
    </w:p>
    <w:p w14:paraId="0783EC10" w14:textId="43D3B15A" w:rsidR="009568DD" w:rsidRPr="00B37511" w:rsidRDefault="009568DD" w:rsidP="00B37511">
      <w:pPr>
        <w:pStyle w:val="ListParagraph"/>
        <w:ind w:left="750"/>
        <w:rPr>
          <w:rFonts w:asciiTheme="majorHAnsi" w:hAnsiTheme="majorHAnsi" w:cstheme="majorHAnsi"/>
          <w:sz w:val="24"/>
          <w:szCs w:val="24"/>
        </w:rPr>
      </w:pPr>
      <w:r w:rsidRPr="00B37511">
        <w:rPr>
          <w:noProof/>
        </w:rPr>
        <w:drawing>
          <wp:inline distT="0" distB="0" distL="0" distR="0" wp14:anchorId="7A289EF4" wp14:editId="2BED72BC">
            <wp:extent cx="5731510" cy="3187700"/>
            <wp:effectExtent l="0" t="0" r="2540" b="0"/>
            <wp:docPr id="19631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702" name=""/>
                    <pic:cNvPicPr/>
                  </pic:nvPicPr>
                  <pic:blipFill>
                    <a:blip r:embed="rId7"/>
                    <a:stretch>
                      <a:fillRect/>
                    </a:stretch>
                  </pic:blipFill>
                  <pic:spPr>
                    <a:xfrm>
                      <a:off x="0" y="0"/>
                      <a:ext cx="5731510" cy="3187700"/>
                    </a:xfrm>
                    <a:prstGeom prst="rect">
                      <a:avLst/>
                    </a:prstGeom>
                  </pic:spPr>
                </pic:pic>
              </a:graphicData>
            </a:graphic>
          </wp:inline>
        </w:drawing>
      </w:r>
    </w:p>
    <w:p w14:paraId="3D86C6E5" w14:textId="3A77F7A6" w:rsidR="00B37511" w:rsidRPr="00B37511" w:rsidRDefault="00B37511" w:rsidP="009568DD">
      <w:pPr>
        <w:pStyle w:val="ListParagraph"/>
        <w:ind w:left="750"/>
        <w:rPr>
          <w:rFonts w:asciiTheme="majorHAnsi" w:hAnsiTheme="majorHAnsi" w:cstheme="majorHAnsi"/>
          <w:sz w:val="24"/>
          <w:szCs w:val="24"/>
        </w:rPr>
      </w:pPr>
      <w:r w:rsidRPr="00B37511">
        <w:rPr>
          <w:rFonts w:asciiTheme="majorHAnsi" w:hAnsiTheme="majorHAnsi" w:cstheme="majorHAnsi"/>
          <w:sz w:val="24"/>
          <w:szCs w:val="24"/>
        </w:rPr>
        <w:lastRenderedPageBreak/>
        <w:t xml:space="preserve">The scatter plot reveals a generally positive relationship between Sales and Profit across most Sub-Categories, with profits increasing as sales rise. However, some Sub-Categories show high profits even at lower sales levels, while others exhibit negative profits despite significant sales, indicating potential inefficiencies. The </w:t>
      </w:r>
      <w:r w:rsidR="0009537D" w:rsidRPr="00B37511">
        <w:rPr>
          <w:rFonts w:asciiTheme="majorHAnsi" w:hAnsiTheme="majorHAnsi" w:cstheme="majorHAnsi"/>
          <w:sz w:val="24"/>
          <w:szCs w:val="24"/>
        </w:rPr>
        <w:t>colour</w:t>
      </w:r>
      <w:r w:rsidRPr="00B37511">
        <w:rPr>
          <w:rFonts w:asciiTheme="majorHAnsi" w:hAnsiTheme="majorHAnsi" w:cstheme="majorHAnsi"/>
          <w:sz w:val="24"/>
          <w:szCs w:val="24"/>
        </w:rPr>
        <w:t xml:space="preserve"> differentiation highlights performance variations, with some categories clustering around moderate sales and profits, and others appearing as outliers with high sales but varied profitability. These insights suggest that while many Sub-Categories are performing well, specific areas may require closer analysis to improve profitability.</w:t>
      </w:r>
    </w:p>
    <w:p w14:paraId="6453EFFA" w14:textId="77777777" w:rsidR="009568DD" w:rsidRPr="00B37511" w:rsidRDefault="009568DD" w:rsidP="009568DD">
      <w:pPr>
        <w:pStyle w:val="ListParagraph"/>
        <w:ind w:left="750"/>
        <w:rPr>
          <w:rFonts w:asciiTheme="majorHAnsi" w:hAnsiTheme="majorHAnsi" w:cstheme="majorHAnsi"/>
          <w:sz w:val="24"/>
          <w:szCs w:val="24"/>
        </w:rPr>
      </w:pPr>
    </w:p>
    <w:p w14:paraId="05A379AB" w14:textId="77777777" w:rsidR="009568DD" w:rsidRPr="00B37511" w:rsidRDefault="009568DD" w:rsidP="009568DD">
      <w:pPr>
        <w:pStyle w:val="ListParagraph"/>
        <w:ind w:left="750"/>
        <w:rPr>
          <w:rFonts w:asciiTheme="majorHAnsi" w:hAnsiTheme="majorHAnsi" w:cstheme="majorHAnsi"/>
          <w:sz w:val="24"/>
          <w:szCs w:val="24"/>
        </w:rPr>
      </w:pPr>
    </w:p>
    <w:p w14:paraId="5A966265" w14:textId="77777777" w:rsidR="009568DD" w:rsidRPr="00B37511" w:rsidRDefault="009568DD" w:rsidP="009568DD">
      <w:pPr>
        <w:pStyle w:val="ListParagraph"/>
        <w:ind w:left="750"/>
        <w:rPr>
          <w:rFonts w:asciiTheme="majorHAnsi" w:hAnsiTheme="majorHAnsi" w:cstheme="majorHAnsi"/>
          <w:b/>
          <w:bCs/>
          <w:sz w:val="28"/>
          <w:szCs w:val="28"/>
        </w:rPr>
      </w:pPr>
    </w:p>
    <w:p w14:paraId="2821E1E8" w14:textId="7269024B" w:rsidR="009568DD" w:rsidRPr="00B37511" w:rsidRDefault="009568DD" w:rsidP="009568DD">
      <w:pPr>
        <w:pStyle w:val="ListParagraph"/>
        <w:numPr>
          <w:ilvl w:val="0"/>
          <w:numId w:val="23"/>
        </w:numPr>
        <w:rPr>
          <w:rFonts w:asciiTheme="majorHAnsi" w:hAnsiTheme="majorHAnsi" w:cstheme="majorHAnsi"/>
          <w:b/>
          <w:bCs/>
          <w:sz w:val="28"/>
          <w:szCs w:val="28"/>
        </w:rPr>
      </w:pPr>
      <w:r w:rsidRPr="00B37511">
        <w:rPr>
          <w:rFonts w:asciiTheme="majorHAnsi" w:hAnsiTheme="majorHAnsi" w:cstheme="majorHAnsi"/>
          <w:b/>
          <w:bCs/>
          <w:sz w:val="28"/>
          <w:szCs w:val="28"/>
        </w:rPr>
        <w:t>Trend Lines</w:t>
      </w:r>
    </w:p>
    <w:p w14:paraId="299A6983" w14:textId="2118C520" w:rsidR="00032CBC" w:rsidRDefault="00032CBC" w:rsidP="00032CBC">
      <w:pPr>
        <w:pStyle w:val="ListParagraph"/>
        <w:ind w:left="750"/>
        <w:rPr>
          <w:rFonts w:asciiTheme="majorHAnsi" w:hAnsiTheme="majorHAnsi" w:cstheme="majorHAnsi"/>
          <w:sz w:val="24"/>
          <w:szCs w:val="24"/>
        </w:rPr>
      </w:pPr>
      <w:r w:rsidRPr="00B37511">
        <w:rPr>
          <w:rFonts w:asciiTheme="majorHAnsi" w:hAnsiTheme="majorHAnsi" w:cstheme="majorHAnsi"/>
          <w:noProof/>
          <w:sz w:val="24"/>
          <w:szCs w:val="24"/>
        </w:rPr>
        <w:drawing>
          <wp:inline distT="0" distB="0" distL="0" distR="0" wp14:anchorId="4E4F1D4A" wp14:editId="6D2EFADD">
            <wp:extent cx="5731510" cy="3000375"/>
            <wp:effectExtent l="0" t="0" r="2540" b="9525"/>
            <wp:docPr id="21873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38797" name=""/>
                    <pic:cNvPicPr/>
                  </pic:nvPicPr>
                  <pic:blipFill>
                    <a:blip r:embed="rId8"/>
                    <a:stretch>
                      <a:fillRect/>
                    </a:stretch>
                  </pic:blipFill>
                  <pic:spPr>
                    <a:xfrm>
                      <a:off x="0" y="0"/>
                      <a:ext cx="5731510" cy="3000375"/>
                    </a:xfrm>
                    <a:prstGeom prst="rect">
                      <a:avLst/>
                    </a:prstGeom>
                  </pic:spPr>
                </pic:pic>
              </a:graphicData>
            </a:graphic>
          </wp:inline>
        </w:drawing>
      </w:r>
    </w:p>
    <w:p w14:paraId="1A974323" w14:textId="77777777" w:rsidR="0009537D" w:rsidRDefault="0009537D" w:rsidP="00032CBC">
      <w:pPr>
        <w:pStyle w:val="ListParagraph"/>
        <w:ind w:left="750"/>
        <w:rPr>
          <w:rFonts w:asciiTheme="majorHAnsi" w:hAnsiTheme="majorHAnsi" w:cstheme="majorHAnsi"/>
          <w:sz w:val="24"/>
          <w:szCs w:val="24"/>
        </w:rPr>
      </w:pPr>
    </w:p>
    <w:p w14:paraId="4266D61E" w14:textId="34CBBEBB" w:rsidR="00032CBC" w:rsidRDefault="00B37511" w:rsidP="00032CBC">
      <w:pPr>
        <w:pStyle w:val="ListParagraph"/>
        <w:ind w:left="750"/>
        <w:rPr>
          <w:rFonts w:asciiTheme="majorHAnsi" w:hAnsiTheme="majorHAnsi" w:cstheme="majorHAnsi"/>
          <w:sz w:val="24"/>
          <w:szCs w:val="24"/>
        </w:rPr>
      </w:pPr>
      <w:r w:rsidRPr="00B37511">
        <w:rPr>
          <w:rFonts w:asciiTheme="majorHAnsi" w:hAnsiTheme="majorHAnsi" w:cstheme="majorHAnsi"/>
          <w:sz w:val="24"/>
          <w:szCs w:val="24"/>
        </w:rPr>
        <w:t>The scatter plot shows the relationship between sales and profit across three categories: Technology, Office Supplies, and Furniture. Technology demonstrates the strongest positive correlation between sales and profit, indicating higher profitability with increased sales. Office Supplies also shows a positive trend, though with less consistency. Furniture, however, reveals a weak or flat correlation, with some points showing high sales but negative profits, suggesting inefficiencies. The data is mostly clustered at lower sales and profit levels, with greater variability as sales increase, particularly in Technology and Office Supplies.</w:t>
      </w:r>
    </w:p>
    <w:p w14:paraId="6A8BC8D4" w14:textId="77777777" w:rsidR="00B37511" w:rsidRDefault="00B37511" w:rsidP="00032CBC">
      <w:pPr>
        <w:pStyle w:val="ListParagraph"/>
        <w:ind w:left="750"/>
        <w:rPr>
          <w:rFonts w:asciiTheme="majorHAnsi" w:hAnsiTheme="majorHAnsi" w:cstheme="majorHAnsi"/>
          <w:sz w:val="24"/>
          <w:szCs w:val="24"/>
        </w:rPr>
      </w:pPr>
    </w:p>
    <w:p w14:paraId="2F21E6FF" w14:textId="77777777" w:rsidR="00B37511" w:rsidRPr="00B37511" w:rsidRDefault="00B37511" w:rsidP="00032CBC">
      <w:pPr>
        <w:pStyle w:val="ListParagraph"/>
        <w:ind w:left="750"/>
        <w:rPr>
          <w:rFonts w:asciiTheme="majorHAnsi" w:hAnsiTheme="majorHAnsi" w:cstheme="majorHAnsi"/>
          <w:sz w:val="24"/>
          <w:szCs w:val="24"/>
        </w:rPr>
      </w:pPr>
    </w:p>
    <w:p w14:paraId="3ECEA4FA" w14:textId="3BECA893" w:rsidR="00032CBC" w:rsidRDefault="00450822" w:rsidP="00032CBC">
      <w:pPr>
        <w:pStyle w:val="ListParagraph"/>
        <w:ind w:left="750"/>
        <w:rPr>
          <w:rFonts w:asciiTheme="majorHAnsi" w:hAnsiTheme="majorHAnsi" w:cstheme="majorHAnsi"/>
          <w:sz w:val="24"/>
          <w:szCs w:val="24"/>
        </w:rPr>
      </w:pPr>
      <w:r w:rsidRPr="00B37511">
        <w:rPr>
          <w:rFonts w:asciiTheme="majorHAnsi" w:hAnsiTheme="majorHAnsi" w:cstheme="majorHAnsi"/>
          <w:noProof/>
          <w:sz w:val="24"/>
          <w:szCs w:val="24"/>
        </w:rPr>
        <w:lastRenderedPageBreak/>
        <w:drawing>
          <wp:inline distT="0" distB="0" distL="0" distR="0" wp14:anchorId="010BF0BD" wp14:editId="7531996D">
            <wp:extent cx="5731510" cy="2971800"/>
            <wp:effectExtent l="0" t="0" r="2540" b="0"/>
            <wp:docPr id="9535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3712" name=""/>
                    <pic:cNvPicPr/>
                  </pic:nvPicPr>
                  <pic:blipFill>
                    <a:blip r:embed="rId9"/>
                    <a:stretch>
                      <a:fillRect/>
                    </a:stretch>
                  </pic:blipFill>
                  <pic:spPr>
                    <a:xfrm>
                      <a:off x="0" y="0"/>
                      <a:ext cx="5731510" cy="2971800"/>
                    </a:xfrm>
                    <a:prstGeom prst="rect">
                      <a:avLst/>
                    </a:prstGeom>
                  </pic:spPr>
                </pic:pic>
              </a:graphicData>
            </a:graphic>
          </wp:inline>
        </w:drawing>
      </w:r>
    </w:p>
    <w:p w14:paraId="69988F91" w14:textId="1A9DA9B3" w:rsidR="00B37511" w:rsidRPr="00B37511" w:rsidRDefault="00B37511" w:rsidP="00032CBC">
      <w:pPr>
        <w:pStyle w:val="ListParagraph"/>
        <w:ind w:left="750"/>
        <w:rPr>
          <w:rFonts w:asciiTheme="majorHAnsi" w:hAnsiTheme="majorHAnsi" w:cstheme="majorHAnsi"/>
          <w:sz w:val="24"/>
          <w:szCs w:val="24"/>
        </w:rPr>
      </w:pPr>
      <w:r w:rsidRPr="00B37511">
        <w:rPr>
          <w:rFonts w:asciiTheme="majorHAnsi" w:hAnsiTheme="majorHAnsi" w:cstheme="majorHAnsi"/>
          <w:sz w:val="24"/>
          <w:szCs w:val="24"/>
        </w:rPr>
        <w:t>The scatter plot shows polynomial trend lines for Sales vs. Profit across three categories: Furniture, Office Supplies, and Technology. Office Supplies (Orange) shows a strong upward curve, indicating profitability rises as sales increase. Technology (Red) follows a parabola, with profits declining at high sales, suggesting diminishing returns or increased costs. Furniture (Blue) displays a sharp decline in profitability as sales grow, indicating a potential issue with costs or inefficiencies. Overall, Furniture and Technology have profitability challenges, while Office Supplies performs well at higher sales levels.</w:t>
      </w:r>
    </w:p>
    <w:p w14:paraId="156C2DD9" w14:textId="77777777" w:rsidR="00450822" w:rsidRDefault="00450822" w:rsidP="00032CBC">
      <w:pPr>
        <w:pStyle w:val="ListParagraph"/>
        <w:ind w:left="750"/>
        <w:rPr>
          <w:rFonts w:asciiTheme="majorHAnsi" w:hAnsiTheme="majorHAnsi" w:cstheme="majorHAnsi"/>
          <w:sz w:val="40"/>
          <w:szCs w:val="40"/>
        </w:rPr>
      </w:pPr>
    </w:p>
    <w:p w14:paraId="56C18F91" w14:textId="4E65F671" w:rsidR="0009537D" w:rsidRDefault="0009537D" w:rsidP="00032CBC">
      <w:pPr>
        <w:pStyle w:val="ListParagraph"/>
        <w:ind w:left="750"/>
        <w:rPr>
          <w:rFonts w:asciiTheme="majorHAnsi" w:hAnsiTheme="majorHAnsi" w:cstheme="majorHAnsi"/>
          <w:sz w:val="40"/>
          <w:szCs w:val="40"/>
        </w:rPr>
      </w:pPr>
      <w:r w:rsidRPr="0009537D">
        <w:rPr>
          <w:rFonts w:asciiTheme="majorHAnsi" w:hAnsiTheme="majorHAnsi" w:cstheme="majorHAnsi"/>
          <w:sz w:val="40"/>
          <w:szCs w:val="40"/>
        </w:rPr>
        <w:drawing>
          <wp:inline distT="0" distB="0" distL="0" distR="0" wp14:anchorId="38AC1D99" wp14:editId="3346E107">
            <wp:extent cx="5731510" cy="2974975"/>
            <wp:effectExtent l="0" t="0" r="2540" b="0"/>
            <wp:docPr id="202790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03331" name=""/>
                    <pic:cNvPicPr/>
                  </pic:nvPicPr>
                  <pic:blipFill>
                    <a:blip r:embed="rId10"/>
                    <a:stretch>
                      <a:fillRect/>
                    </a:stretch>
                  </pic:blipFill>
                  <pic:spPr>
                    <a:xfrm>
                      <a:off x="0" y="0"/>
                      <a:ext cx="5731510" cy="2974975"/>
                    </a:xfrm>
                    <a:prstGeom prst="rect">
                      <a:avLst/>
                    </a:prstGeom>
                  </pic:spPr>
                </pic:pic>
              </a:graphicData>
            </a:graphic>
          </wp:inline>
        </w:drawing>
      </w:r>
    </w:p>
    <w:p w14:paraId="74889E59" w14:textId="77777777" w:rsidR="0009537D" w:rsidRDefault="0009537D" w:rsidP="00032CBC">
      <w:pPr>
        <w:pStyle w:val="ListParagraph"/>
        <w:ind w:left="750"/>
        <w:rPr>
          <w:rFonts w:asciiTheme="majorHAnsi" w:hAnsiTheme="majorHAnsi" w:cstheme="majorHAnsi"/>
          <w:sz w:val="40"/>
          <w:szCs w:val="40"/>
        </w:rPr>
      </w:pPr>
    </w:p>
    <w:p w14:paraId="7390EEC6" w14:textId="77777777" w:rsidR="00450822" w:rsidRPr="009568DD" w:rsidRDefault="00450822" w:rsidP="00032CBC">
      <w:pPr>
        <w:pStyle w:val="ListParagraph"/>
        <w:ind w:left="750"/>
        <w:rPr>
          <w:rFonts w:asciiTheme="majorHAnsi" w:hAnsiTheme="majorHAnsi" w:cstheme="majorHAnsi"/>
          <w:sz w:val="40"/>
          <w:szCs w:val="40"/>
        </w:rPr>
      </w:pPr>
    </w:p>
    <w:p w14:paraId="016F7E92" w14:textId="77777777" w:rsidR="006075F9" w:rsidRDefault="006075F9">
      <w:pPr>
        <w:rPr>
          <w:rFonts w:asciiTheme="majorHAnsi" w:hAnsiTheme="majorHAnsi" w:cstheme="majorHAnsi"/>
          <w:sz w:val="40"/>
          <w:szCs w:val="40"/>
        </w:rPr>
      </w:pPr>
      <w:r w:rsidRPr="006075F9">
        <w:rPr>
          <w:rFonts w:asciiTheme="majorHAnsi" w:hAnsiTheme="majorHAnsi" w:cstheme="majorHAnsi"/>
          <w:sz w:val="40"/>
          <w:szCs w:val="40"/>
        </w:rPr>
        <w:lastRenderedPageBreak/>
        <w:t>Part 2</w:t>
      </w:r>
    </w:p>
    <w:p w14:paraId="1C0C8F19" w14:textId="52DC58D1" w:rsidR="00EE0234" w:rsidRDefault="00EE0234">
      <w:pPr>
        <w:rPr>
          <w:rFonts w:asciiTheme="majorHAnsi" w:hAnsiTheme="majorHAnsi" w:cstheme="majorHAnsi"/>
          <w:sz w:val="40"/>
          <w:szCs w:val="40"/>
        </w:rPr>
      </w:pPr>
    </w:p>
    <w:p w14:paraId="6C72CA15" w14:textId="1B5E69C3" w:rsidR="006075F9" w:rsidRPr="0062123C" w:rsidRDefault="00B059DD" w:rsidP="006075F9">
      <w:pPr>
        <w:rPr>
          <w:sz w:val="24"/>
          <w:szCs w:val="24"/>
        </w:rPr>
      </w:pPr>
      <w:r w:rsidRPr="0062123C">
        <w:rPr>
          <w:noProof/>
          <w:sz w:val="24"/>
          <w:szCs w:val="24"/>
        </w:rPr>
        <w:drawing>
          <wp:inline distT="0" distB="0" distL="0" distR="0" wp14:anchorId="100C100C" wp14:editId="0F17BB8F">
            <wp:extent cx="5731510" cy="3281680"/>
            <wp:effectExtent l="0" t="0" r="2540" b="0"/>
            <wp:docPr id="91671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14596" name=""/>
                    <pic:cNvPicPr/>
                  </pic:nvPicPr>
                  <pic:blipFill>
                    <a:blip r:embed="rId11"/>
                    <a:stretch>
                      <a:fillRect/>
                    </a:stretch>
                  </pic:blipFill>
                  <pic:spPr>
                    <a:xfrm>
                      <a:off x="0" y="0"/>
                      <a:ext cx="5731510" cy="3281680"/>
                    </a:xfrm>
                    <a:prstGeom prst="rect">
                      <a:avLst/>
                    </a:prstGeom>
                  </pic:spPr>
                </pic:pic>
              </a:graphicData>
            </a:graphic>
          </wp:inline>
        </w:drawing>
      </w:r>
    </w:p>
    <w:p w14:paraId="706183F9" w14:textId="77777777" w:rsidR="0062123C" w:rsidRPr="0062123C" w:rsidRDefault="0062123C" w:rsidP="0062123C">
      <w:pPr>
        <w:rPr>
          <w:sz w:val="24"/>
          <w:szCs w:val="24"/>
        </w:rPr>
      </w:pPr>
      <w:r w:rsidRPr="0062123C">
        <w:rPr>
          <w:sz w:val="24"/>
          <w:szCs w:val="24"/>
        </w:rPr>
        <w:t>The heatmap visualizes the correlation between sales and another metric across different sub-categories from 2014 to 2017. Key insights include:</w:t>
      </w:r>
    </w:p>
    <w:p w14:paraId="6810D4B3" w14:textId="77777777" w:rsidR="0062123C" w:rsidRPr="0062123C" w:rsidRDefault="0062123C" w:rsidP="0062123C">
      <w:pPr>
        <w:rPr>
          <w:sz w:val="24"/>
          <w:szCs w:val="24"/>
        </w:rPr>
      </w:pPr>
    </w:p>
    <w:p w14:paraId="68BCD0EF" w14:textId="77777777" w:rsidR="0062123C" w:rsidRPr="0062123C" w:rsidRDefault="0062123C" w:rsidP="0062123C">
      <w:pPr>
        <w:rPr>
          <w:sz w:val="24"/>
          <w:szCs w:val="24"/>
        </w:rPr>
      </w:pPr>
      <w:r w:rsidRPr="0062123C">
        <w:rPr>
          <w:sz w:val="24"/>
          <w:szCs w:val="24"/>
        </w:rPr>
        <w:t>Strong Positive Correlations: Sub-categories like "Tables" and "Fasteners" consistently show high positive correlations across years, indicating that as sales increase, the other metric (likely profit or quantity) also increases significantly.</w:t>
      </w:r>
    </w:p>
    <w:p w14:paraId="2EA84EF8" w14:textId="77777777" w:rsidR="0062123C" w:rsidRPr="0062123C" w:rsidRDefault="0062123C" w:rsidP="0062123C">
      <w:pPr>
        <w:rPr>
          <w:sz w:val="24"/>
          <w:szCs w:val="24"/>
        </w:rPr>
      </w:pPr>
    </w:p>
    <w:p w14:paraId="09EA5A63" w14:textId="77777777" w:rsidR="0062123C" w:rsidRPr="0062123C" w:rsidRDefault="0062123C" w:rsidP="0062123C">
      <w:pPr>
        <w:rPr>
          <w:sz w:val="24"/>
          <w:szCs w:val="24"/>
        </w:rPr>
      </w:pPr>
      <w:r w:rsidRPr="0062123C">
        <w:rPr>
          <w:sz w:val="24"/>
          <w:szCs w:val="24"/>
        </w:rPr>
        <w:t>Negative Correlations: The "Supplies" sub-category in 2015 shows a negative correlation, suggesting that an increase in sales might be associated with a decrease in the other metric during that year.</w:t>
      </w:r>
    </w:p>
    <w:p w14:paraId="7E9A36B7" w14:textId="77777777" w:rsidR="0062123C" w:rsidRPr="0062123C" w:rsidRDefault="0062123C" w:rsidP="0062123C">
      <w:pPr>
        <w:rPr>
          <w:sz w:val="24"/>
          <w:szCs w:val="24"/>
        </w:rPr>
      </w:pPr>
    </w:p>
    <w:p w14:paraId="69CC8645" w14:textId="7D3217DE" w:rsidR="00B059DD" w:rsidRPr="0062123C" w:rsidRDefault="0062123C" w:rsidP="0062123C">
      <w:pPr>
        <w:rPr>
          <w:sz w:val="24"/>
          <w:szCs w:val="24"/>
        </w:rPr>
      </w:pPr>
      <w:r w:rsidRPr="0062123C">
        <w:rPr>
          <w:sz w:val="24"/>
          <w:szCs w:val="24"/>
        </w:rPr>
        <w:t>Variability: Correlations fluctuate over the years for many sub-categories, reflecting changing relationships between sales and the other metric</w:t>
      </w:r>
    </w:p>
    <w:p w14:paraId="409A6E96" w14:textId="220F2F20" w:rsidR="00785932" w:rsidRPr="0062123C" w:rsidRDefault="00785932" w:rsidP="006075F9">
      <w:pPr>
        <w:rPr>
          <w:sz w:val="24"/>
          <w:szCs w:val="24"/>
        </w:rPr>
      </w:pPr>
      <w:r w:rsidRPr="0062123C">
        <w:rPr>
          <w:noProof/>
          <w:sz w:val="24"/>
          <w:szCs w:val="24"/>
        </w:rPr>
        <w:lastRenderedPageBreak/>
        <w:drawing>
          <wp:inline distT="0" distB="0" distL="0" distR="0" wp14:anchorId="3B8FA61B" wp14:editId="2E53AB73">
            <wp:extent cx="5731510" cy="2980690"/>
            <wp:effectExtent l="0" t="0" r="2540" b="0"/>
            <wp:docPr id="97197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5922" name=""/>
                    <pic:cNvPicPr/>
                  </pic:nvPicPr>
                  <pic:blipFill>
                    <a:blip r:embed="rId12"/>
                    <a:stretch>
                      <a:fillRect/>
                    </a:stretch>
                  </pic:blipFill>
                  <pic:spPr>
                    <a:xfrm>
                      <a:off x="0" y="0"/>
                      <a:ext cx="5731510" cy="2980690"/>
                    </a:xfrm>
                    <a:prstGeom prst="rect">
                      <a:avLst/>
                    </a:prstGeom>
                  </pic:spPr>
                </pic:pic>
              </a:graphicData>
            </a:graphic>
          </wp:inline>
        </w:drawing>
      </w:r>
    </w:p>
    <w:p w14:paraId="4EBC67C0" w14:textId="77777777" w:rsidR="0062123C" w:rsidRPr="0062123C" w:rsidRDefault="0062123C" w:rsidP="0062123C">
      <w:pPr>
        <w:rPr>
          <w:sz w:val="24"/>
          <w:szCs w:val="24"/>
        </w:rPr>
      </w:pPr>
      <w:r w:rsidRPr="0062123C">
        <w:rPr>
          <w:sz w:val="24"/>
          <w:szCs w:val="24"/>
        </w:rPr>
        <w:t>The heatmap provides a detailed view of the correlation between different product sub-categories in the dataset. Key insights include:</w:t>
      </w:r>
    </w:p>
    <w:p w14:paraId="2CE51BAD" w14:textId="77777777" w:rsidR="0062123C" w:rsidRPr="0062123C" w:rsidRDefault="0062123C" w:rsidP="0062123C">
      <w:pPr>
        <w:rPr>
          <w:sz w:val="24"/>
          <w:szCs w:val="24"/>
        </w:rPr>
      </w:pPr>
    </w:p>
    <w:p w14:paraId="6C63770A" w14:textId="77777777" w:rsidR="0062123C" w:rsidRPr="0062123C" w:rsidRDefault="0062123C" w:rsidP="0062123C">
      <w:pPr>
        <w:rPr>
          <w:sz w:val="24"/>
          <w:szCs w:val="24"/>
        </w:rPr>
      </w:pPr>
      <w:r w:rsidRPr="0062123C">
        <w:rPr>
          <w:sz w:val="24"/>
          <w:szCs w:val="24"/>
        </w:rPr>
        <w:t>High Positive Correlations: For instance, "Tables" and "Chairs" have a strong positive correlation of 0.819, indicating these sub-categories tend to increase in sales together.</w:t>
      </w:r>
    </w:p>
    <w:p w14:paraId="3EDAA781" w14:textId="77777777" w:rsidR="0062123C" w:rsidRPr="0062123C" w:rsidRDefault="0062123C" w:rsidP="0062123C">
      <w:pPr>
        <w:rPr>
          <w:sz w:val="24"/>
          <w:szCs w:val="24"/>
        </w:rPr>
      </w:pPr>
    </w:p>
    <w:p w14:paraId="6558D6DA" w14:textId="77777777" w:rsidR="0062123C" w:rsidRPr="0062123C" w:rsidRDefault="0062123C" w:rsidP="0062123C">
      <w:pPr>
        <w:rPr>
          <w:sz w:val="24"/>
          <w:szCs w:val="24"/>
        </w:rPr>
      </w:pPr>
      <w:r w:rsidRPr="0062123C">
        <w:rPr>
          <w:sz w:val="24"/>
          <w:szCs w:val="24"/>
        </w:rPr>
        <w:t>Strong Negative Correlations: "Copiers" and "Furnishings" exhibit a significant negative correlation of -0.779, suggesting that an increase in sales for "Copiers" might lead to a decrease in sales for "Furnishings."</w:t>
      </w:r>
    </w:p>
    <w:p w14:paraId="1C3764FB" w14:textId="77777777" w:rsidR="0062123C" w:rsidRPr="0062123C" w:rsidRDefault="0062123C" w:rsidP="0062123C">
      <w:pPr>
        <w:rPr>
          <w:sz w:val="24"/>
          <w:szCs w:val="24"/>
        </w:rPr>
      </w:pPr>
    </w:p>
    <w:p w14:paraId="1429A75C" w14:textId="77777777" w:rsidR="0062123C" w:rsidRPr="0062123C" w:rsidRDefault="0062123C" w:rsidP="0062123C">
      <w:pPr>
        <w:rPr>
          <w:sz w:val="24"/>
          <w:szCs w:val="24"/>
        </w:rPr>
      </w:pPr>
      <w:r w:rsidRPr="0062123C">
        <w:rPr>
          <w:sz w:val="24"/>
          <w:szCs w:val="24"/>
        </w:rPr>
        <w:t xml:space="preserve">Moderate Correlations: "Machines" and "Labels" have a moderate positive correlation of 0.631, reflecting a potential complementary relationship in purchasing </w:t>
      </w:r>
      <w:proofErr w:type="spellStart"/>
      <w:r w:rsidRPr="0062123C">
        <w:rPr>
          <w:sz w:val="24"/>
          <w:szCs w:val="24"/>
        </w:rPr>
        <w:t>behavior</w:t>
      </w:r>
      <w:proofErr w:type="spellEnd"/>
      <w:r w:rsidRPr="0062123C">
        <w:rPr>
          <w:sz w:val="24"/>
          <w:szCs w:val="24"/>
        </w:rPr>
        <w:t>.</w:t>
      </w:r>
    </w:p>
    <w:p w14:paraId="1D06346A" w14:textId="77777777" w:rsidR="0062123C" w:rsidRPr="0062123C" w:rsidRDefault="0062123C" w:rsidP="0062123C">
      <w:pPr>
        <w:rPr>
          <w:sz w:val="24"/>
          <w:szCs w:val="24"/>
        </w:rPr>
      </w:pPr>
    </w:p>
    <w:p w14:paraId="47FECFFA" w14:textId="12157EA2" w:rsidR="0062123C" w:rsidRPr="0062123C" w:rsidRDefault="0062123C" w:rsidP="0062123C">
      <w:pPr>
        <w:rPr>
          <w:sz w:val="24"/>
          <w:szCs w:val="24"/>
        </w:rPr>
      </w:pPr>
      <w:r w:rsidRPr="0062123C">
        <w:rPr>
          <w:sz w:val="24"/>
          <w:szCs w:val="24"/>
        </w:rPr>
        <w:t>This heatmap aids in understanding which sub-categories have linked or opposing sales trends, providing actionable insights for inventory management and cross-selling strategies.</w:t>
      </w:r>
    </w:p>
    <w:sectPr w:rsidR="0062123C" w:rsidRPr="00621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4E69"/>
    <w:multiLevelType w:val="hybridMultilevel"/>
    <w:tmpl w:val="C412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725B2"/>
    <w:multiLevelType w:val="multilevel"/>
    <w:tmpl w:val="AFD2A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23FF"/>
    <w:multiLevelType w:val="hybridMultilevel"/>
    <w:tmpl w:val="D1C2BD48"/>
    <w:lvl w:ilvl="0" w:tplc="DF7C18F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E74A47"/>
    <w:multiLevelType w:val="multilevel"/>
    <w:tmpl w:val="8BA6F3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A42A90"/>
    <w:multiLevelType w:val="multilevel"/>
    <w:tmpl w:val="12E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E63B9"/>
    <w:multiLevelType w:val="hybridMultilevel"/>
    <w:tmpl w:val="EC204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82818"/>
    <w:multiLevelType w:val="hybridMultilevel"/>
    <w:tmpl w:val="7BCCD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FA1429"/>
    <w:multiLevelType w:val="multilevel"/>
    <w:tmpl w:val="44A25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9496B38"/>
    <w:multiLevelType w:val="multilevel"/>
    <w:tmpl w:val="168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4762"/>
    <w:multiLevelType w:val="hybridMultilevel"/>
    <w:tmpl w:val="94A8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3D644B"/>
    <w:multiLevelType w:val="hybridMultilevel"/>
    <w:tmpl w:val="A77CD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635C9C"/>
    <w:multiLevelType w:val="multilevel"/>
    <w:tmpl w:val="E93AEE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BA1189E"/>
    <w:multiLevelType w:val="hybridMultilevel"/>
    <w:tmpl w:val="39EEE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E849C4"/>
    <w:multiLevelType w:val="multilevel"/>
    <w:tmpl w:val="3B3CDE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C3C6F40"/>
    <w:multiLevelType w:val="multilevel"/>
    <w:tmpl w:val="54B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F3E12"/>
    <w:multiLevelType w:val="hybridMultilevel"/>
    <w:tmpl w:val="D578F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1C0062"/>
    <w:multiLevelType w:val="hybridMultilevel"/>
    <w:tmpl w:val="D0B2F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243AAC"/>
    <w:multiLevelType w:val="multilevel"/>
    <w:tmpl w:val="540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002A7"/>
    <w:multiLevelType w:val="multilevel"/>
    <w:tmpl w:val="F7CC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246EA"/>
    <w:multiLevelType w:val="multilevel"/>
    <w:tmpl w:val="805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7419A"/>
    <w:multiLevelType w:val="hybridMultilevel"/>
    <w:tmpl w:val="EA32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272D1A"/>
    <w:multiLevelType w:val="hybridMultilevel"/>
    <w:tmpl w:val="FCD2C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160138"/>
    <w:multiLevelType w:val="multilevel"/>
    <w:tmpl w:val="F682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92947">
    <w:abstractNumId w:val="10"/>
  </w:num>
  <w:num w:numId="2" w16cid:durableId="1642077827">
    <w:abstractNumId w:val="13"/>
  </w:num>
  <w:num w:numId="3" w16cid:durableId="29959795">
    <w:abstractNumId w:val="7"/>
  </w:num>
  <w:num w:numId="4" w16cid:durableId="2015181107">
    <w:abstractNumId w:val="11"/>
  </w:num>
  <w:num w:numId="5" w16cid:durableId="453642997">
    <w:abstractNumId w:val="3"/>
  </w:num>
  <w:num w:numId="6" w16cid:durableId="1132868812">
    <w:abstractNumId w:val="6"/>
  </w:num>
  <w:num w:numId="7" w16cid:durableId="908003382">
    <w:abstractNumId w:val="1"/>
  </w:num>
  <w:num w:numId="8" w16cid:durableId="1428959373">
    <w:abstractNumId w:val="15"/>
  </w:num>
  <w:num w:numId="9" w16cid:durableId="1540969143">
    <w:abstractNumId w:val="0"/>
  </w:num>
  <w:num w:numId="10" w16cid:durableId="1372416839">
    <w:abstractNumId w:val="12"/>
  </w:num>
  <w:num w:numId="11" w16cid:durableId="1202745360">
    <w:abstractNumId w:val="14"/>
  </w:num>
  <w:num w:numId="12" w16cid:durableId="631594427">
    <w:abstractNumId w:val="5"/>
  </w:num>
  <w:num w:numId="13" w16cid:durableId="1779913526">
    <w:abstractNumId w:val="18"/>
  </w:num>
  <w:num w:numId="14" w16cid:durableId="632172252">
    <w:abstractNumId w:val="21"/>
  </w:num>
  <w:num w:numId="15" w16cid:durableId="2020812614">
    <w:abstractNumId w:val="8"/>
  </w:num>
  <w:num w:numId="16" w16cid:durableId="2006203234">
    <w:abstractNumId w:val="19"/>
  </w:num>
  <w:num w:numId="17" w16cid:durableId="1346135304">
    <w:abstractNumId w:val="9"/>
  </w:num>
  <w:num w:numId="18" w16cid:durableId="849301071">
    <w:abstractNumId w:val="20"/>
  </w:num>
  <w:num w:numId="19" w16cid:durableId="1101610960">
    <w:abstractNumId w:val="16"/>
  </w:num>
  <w:num w:numId="20" w16cid:durableId="656300957">
    <w:abstractNumId w:val="22"/>
  </w:num>
  <w:num w:numId="21" w16cid:durableId="2010325001">
    <w:abstractNumId w:val="17"/>
  </w:num>
  <w:num w:numId="22" w16cid:durableId="520240591">
    <w:abstractNumId w:val="4"/>
  </w:num>
  <w:num w:numId="23" w16cid:durableId="36398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9D"/>
    <w:rsid w:val="00032CBC"/>
    <w:rsid w:val="0009537D"/>
    <w:rsid w:val="000F7EC4"/>
    <w:rsid w:val="0015315B"/>
    <w:rsid w:val="00197B1E"/>
    <w:rsid w:val="00233F7B"/>
    <w:rsid w:val="002627A9"/>
    <w:rsid w:val="00263322"/>
    <w:rsid w:val="00376205"/>
    <w:rsid w:val="00450822"/>
    <w:rsid w:val="004A7B3B"/>
    <w:rsid w:val="004C1C12"/>
    <w:rsid w:val="0059279E"/>
    <w:rsid w:val="006075F9"/>
    <w:rsid w:val="0062123C"/>
    <w:rsid w:val="00781628"/>
    <w:rsid w:val="00785932"/>
    <w:rsid w:val="00824BC0"/>
    <w:rsid w:val="008A0502"/>
    <w:rsid w:val="008A7B9D"/>
    <w:rsid w:val="008B522D"/>
    <w:rsid w:val="008D142B"/>
    <w:rsid w:val="009568DD"/>
    <w:rsid w:val="00981436"/>
    <w:rsid w:val="00A62139"/>
    <w:rsid w:val="00A87F98"/>
    <w:rsid w:val="00AC1556"/>
    <w:rsid w:val="00B059DD"/>
    <w:rsid w:val="00B1531C"/>
    <w:rsid w:val="00B37511"/>
    <w:rsid w:val="00BE46E8"/>
    <w:rsid w:val="00C15345"/>
    <w:rsid w:val="00CA4AB7"/>
    <w:rsid w:val="00D769EC"/>
    <w:rsid w:val="00E4764B"/>
    <w:rsid w:val="00E575E4"/>
    <w:rsid w:val="00EA28E9"/>
    <w:rsid w:val="00EE0234"/>
    <w:rsid w:val="00FB3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3E3C"/>
  <w15:chartTrackingRefBased/>
  <w15:docId w15:val="{5EE689A1-5F97-4385-961A-53AAD690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7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5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EC4"/>
    <w:pPr>
      <w:ind w:left="720"/>
      <w:contextualSpacing/>
    </w:pPr>
  </w:style>
  <w:style w:type="character" w:styleId="Hyperlink">
    <w:name w:val="Hyperlink"/>
    <w:basedOn w:val="DefaultParagraphFont"/>
    <w:uiPriority w:val="99"/>
    <w:unhideWhenUsed/>
    <w:rsid w:val="00AC1556"/>
    <w:rPr>
      <w:color w:val="0563C1" w:themeColor="hyperlink"/>
      <w:u w:val="single"/>
    </w:rPr>
  </w:style>
  <w:style w:type="character" w:styleId="UnresolvedMention">
    <w:name w:val="Unresolved Mention"/>
    <w:basedOn w:val="DefaultParagraphFont"/>
    <w:uiPriority w:val="99"/>
    <w:semiHidden/>
    <w:unhideWhenUsed/>
    <w:rsid w:val="00AC1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4959">
      <w:bodyDiv w:val="1"/>
      <w:marLeft w:val="0"/>
      <w:marRight w:val="0"/>
      <w:marTop w:val="0"/>
      <w:marBottom w:val="0"/>
      <w:divBdr>
        <w:top w:val="none" w:sz="0" w:space="0" w:color="auto"/>
        <w:left w:val="none" w:sz="0" w:space="0" w:color="auto"/>
        <w:bottom w:val="none" w:sz="0" w:space="0" w:color="auto"/>
        <w:right w:val="none" w:sz="0" w:space="0" w:color="auto"/>
      </w:divBdr>
    </w:div>
    <w:div w:id="216750243">
      <w:bodyDiv w:val="1"/>
      <w:marLeft w:val="0"/>
      <w:marRight w:val="0"/>
      <w:marTop w:val="0"/>
      <w:marBottom w:val="0"/>
      <w:divBdr>
        <w:top w:val="none" w:sz="0" w:space="0" w:color="auto"/>
        <w:left w:val="none" w:sz="0" w:space="0" w:color="auto"/>
        <w:bottom w:val="none" w:sz="0" w:space="0" w:color="auto"/>
        <w:right w:val="none" w:sz="0" w:space="0" w:color="auto"/>
      </w:divBdr>
    </w:div>
    <w:div w:id="383526252">
      <w:bodyDiv w:val="1"/>
      <w:marLeft w:val="0"/>
      <w:marRight w:val="0"/>
      <w:marTop w:val="0"/>
      <w:marBottom w:val="0"/>
      <w:divBdr>
        <w:top w:val="none" w:sz="0" w:space="0" w:color="auto"/>
        <w:left w:val="none" w:sz="0" w:space="0" w:color="auto"/>
        <w:bottom w:val="none" w:sz="0" w:space="0" w:color="auto"/>
        <w:right w:val="none" w:sz="0" w:space="0" w:color="auto"/>
      </w:divBdr>
    </w:div>
    <w:div w:id="385567192">
      <w:bodyDiv w:val="1"/>
      <w:marLeft w:val="0"/>
      <w:marRight w:val="0"/>
      <w:marTop w:val="0"/>
      <w:marBottom w:val="0"/>
      <w:divBdr>
        <w:top w:val="none" w:sz="0" w:space="0" w:color="auto"/>
        <w:left w:val="none" w:sz="0" w:space="0" w:color="auto"/>
        <w:bottom w:val="none" w:sz="0" w:space="0" w:color="auto"/>
        <w:right w:val="none" w:sz="0" w:space="0" w:color="auto"/>
      </w:divBdr>
    </w:div>
    <w:div w:id="411048797">
      <w:bodyDiv w:val="1"/>
      <w:marLeft w:val="0"/>
      <w:marRight w:val="0"/>
      <w:marTop w:val="0"/>
      <w:marBottom w:val="0"/>
      <w:divBdr>
        <w:top w:val="none" w:sz="0" w:space="0" w:color="auto"/>
        <w:left w:val="none" w:sz="0" w:space="0" w:color="auto"/>
        <w:bottom w:val="none" w:sz="0" w:space="0" w:color="auto"/>
        <w:right w:val="none" w:sz="0" w:space="0" w:color="auto"/>
      </w:divBdr>
    </w:div>
    <w:div w:id="429811630">
      <w:bodyDiv w:val="1"/>
      <w:marLeft w:val="0"/>
      <w:marRight w:val="0"/>
      <w:marTop w:val="0"/>
      <w:marBottom w:val="0"/>
      <w:divBdr>
        <w:top w:val="none" w:sz="0" w:space="0" w:color="auto"/>
        <w:left w:val="none" w:sz="0" w:space="0" w:color="auto"/>
        <w:bottom w:val="none" w:sz="0" w:space="0" w:color="auto"/>
        <w:right w:val="none" w:sz="0" w:space="0" w:color="auto"/>
      </w:divBdr>
    </w:div>
    <w:div w:id="449709544">
      <w:bodyDiv w:val="1"/>
      <w:marLeft w:val="0"/>
      <w:marRight w:val="0"/>
      <w:marTop w:val="0"/>
      <w:marBottom w:val="0"/>
      <w:divBdr>
        <w:top w:val="none" w:sz="0" w:space="0" w:color="auto"/>
        <w:left w:val="none" w:sz="0" w:space="0" w:color="auto"/>
        <w:bottom w:val="none" w:sz="0" w:space="0" w:color="auto"/>
        <w:right w:val="none" w:sz="0" w:space="0" w:color="auto"/>
      </w:divBdr>
    </w:div>
    <w:div w:id="486239635">
      <w:bodyDiv w:val="1"/>
      <w:marLeft w:val="0"/>
      <w:marRight w:val="0"/>
      <w:marTop w:val="0"/>
      <w:marBottom w:val="0"/>
      <w:divBdr>
        <w:top w:val="none" w:sz="0" w:space="0" w:color="auto"/>
        <w:left w:val="none" w:sz="0" w:space="0" w:color="auto"/>
        <w:bottom w:val="none" w:sz="0" w:space="0" w:color="auto"/>
        <w:right w:val="none" w:sz="0" w:space="0" w:color="auto"/>
      </w:divBdr>
    </w:div>
    <w:div w:id="508712129">
      <w:bodyDiv w:val="1"/>
      <w:marLeft w:val="0"/>
      <w:marRight w:val="0"/>
      <w:marTop w:val="0"/>
      <w:marBottom w:val="0"/>
      <w:divBdr>
        <w:top w:val="none" w:sz="0" w:space="0" w:color="auto"/>
        <w:left w:val="none" w:sz="0" w:space="0" w:color="auto"/>
        <w:bottom w:val="none" w:sz="0" w:space="0" w:color="auto"/>
        <w:right w:val="none" w:sz="0" w:space="0" w:color="auto"/>
      </w:divBdr>
    </w:div>
    <w:div w:id="752894906">
      <w:bodyDiv w:val="1"/>
      <w:marLeft w:val="0"/>
      <w:marRight w:val="0"/>
      <w:marTop w:val="0"/>
      <w:marBottom w:val="0"/>
      <w:divBdr>
        <w:top w:val="none" w:sz="0" w:space="0" w:color="auto"/>
        <w:left w:val="none" w:sz="0" w:space="0" w:color="auto"/>
        <w:bottom w:val="none" w:sz="0" w:space="0" w:color="auto"/>
        <w:right w:val="none" w:sz="0" w:space="0" w:color="auto"/>
      </w:divBdr>
    </w:div>
    <w:div w:id="774442151">
      <w:bodyDiv w:val="1"/>
      <w:marLeft w:val="0"/>
      <w:marRight w:val="0"/>
      <w:marTop w:val="0"/>
      <w:marBottom w:val="0"/>
      <w:divBdr>
        <w:top w:val="none" w:sz="0" w:space="0" w:color="auto"/>
        <w:left w:val="none" w:sz="0" w:space="0" w:color="auto"/>
        <w:bottom w:val="none" w:sz="0" w:space="0" w:color="auto"/>
        <w:right w:val="none" w:sz="0" w:space="0" w:color="auto"/>
      </w:divBdr>
    </w:div>
    <w:div w:id="827595042">
      <w:bodyDiv w:val="1"/>
      <w:marLeft w:val="0"/>
      <w:marRight w:val="0"/>
      <w:marTop w:val="0"/>
      <w:marBottom w:val="0"/>
      <w:divBdr>
        <w:top w:val="none" w:sz="0" w:space="0" w:color="auto"/>
        <w:left w:val="none" w:sz="0" w:space="0" w:color="auto"/>
        <w:bottom w:val="none" w:sz="0" w:space="0" w:color="auto"/>
        <w:right w:val="none" w:sz="0" w:space="0" w:color="auto"/>
      </w:divBdr>
    </w:div>
    <w:div w:id="1007097841">
      <w:bodyDiv w:val="1"/>
      <w:marLeft w:val="0"/>
      <w:marRight w:val="0"/>
      <w:marTop w:val="0"/>
      <w:marBottom w:val="0"/>
      <w:divBdr>
        <w:top w:val="none" w:sz="0" w:space="0" w:color="auto"/>
        <w:left w:val="none" w:sz="0" w:space="0" w:color="auto"/>
        <w:bottom w:val="none" w:sz="0" w:space="0" w:color="auto"/>
        <w:right w:val="none" w:sz="0" w:space="0" w:color="auto"/>
      </w:divBdr>
    </w:div>
    <w:div w:id="1061901515">
      <w:bodyDiv w:val="1"/>
      <w:marLeft w:val="0"/>
      <w:marRight w:val="0"/>
      <w:marTop w:val="0"/>
      <w:marBottom w:val="0"/>
      <w:divBdr>
        <w:top w:val="none" w:sz="0" w:space="0" w:color="auto"/>
        <w:left w:val="none" w:sz="0" w:space="0" w:color="auto"/>
        <w:bottom w:val="none" w:sz="0" w:space="0" w:color="auto"/>
        <w:right w:val="none" w:sz="0" w:space="0" w:color="auto"/>
      </w:divBdr>
    </w:div>
    <w:div w:id="1114977351">
      <w:bodyDiv w:val="1"/>
      <w:marLeft w:val="0"/>
      <w:marRight w:val="0"/>
      <w:marTop w:val="0"/>
      <w:marBottom w:val="0"/>
      <w:divBdr>
        <w:top w:val="none" w:sz="0" w:space="0" w:color="auto"/>
        <w:left w:val="none" w:sz="0" w:space="0" w:color="auto"/>
        <w:bottom w:val="none" w:sz="0" w:space="0" w:color="auto"/>
        <w:right w:val="none" w:sz="0" w:space="0" w:color="auto"/>
      </w:divBdr>
    </w:div>
    <w:div w:id="1141968190">
      <w:bodyDiv w:val="1"/>
      <w:marLeft w:val="0"/>
      <w:marRight w:val="0"/>
      <w:marTop w:val="0"/>
      <w:marBottom w:val="0"/>
      <w:divBdr>
        <w:top w:val="none" w:sz="0" w:space="0" w:color="auto"/>
        <w:left w:val="none" w:sz="0" w:space="0" w:color="auto"/>
        <w:bottom w:val="none" w:sz="0" w:space="0" w:color="auto"/>
        <w:right w:val="none" w:sz="0" w:space="0" w:color="auto"/>
      </w:divBdr>
    </w:div>
    <w:div w:id="1198859397">
      <w:bodyDiv w:val="1"/>
      <w:marLeft w:val="0"/>
      <w:marRight w:val="0"/>
      <w:marTop w:val="0"/>
      <w:marBottom w:val="0"/>
      <w:divBdr>
        <w:top w:val="none" w:sz="0" w:space="0" w:color="auto"/>
        <w:left w:val="none" w:sz="0" w:space="0" w:color="auto"/>
        <w:bottom w:val="none" w:sz="0" w:space="0" w:color="auto"/>
        <w:right w:val="none" w:sz="0" w:space="0" w:color="auto"/>
      </w:divBdr>
    </w:div>
    <w:div w:id="1274359288">
      <w:bodyDiv w:val="1"/>
      <w:marLeft w:val="0"/>
      <w:marRight w:val="0"/>
      <w:marTop w:val="0"/>
      <w:marBottom w:val="0"/>
      <w:divBdr>
        <w:top w:val="none" w:sz="0" w:space="0" w:color="auto"/>
        <w:left w:val="none" w:sz="0" w:space="0" w:color="auto"/>
        <w:bottom w:val="none" w:sz="0" w:space="0" w:color="auto"/>
        <w:right w:val="none" w:sz="0" w:space="0" w:color="auto"/>
      </w:divBdr>
    </w:div>
    <w:div w:id="1351643367">
      <w:bodyDiv w:val="1"/>
      <w:marLeft w:val="0"/>
      <w:marRight w:val="0"/>
      <w:marTop w:val="0"/>
      <w:marBottom w:val="0"/>
      <w:divBdr>
        <w:top w:val="none" w:sz="0" w:space="0" w:color="auto"/>
        <w:left w:val="none" w:sz="0" w:space="0" w:color="auto"/>
        <w:bottom w:val="none" w:sz="0" w:space="0" w:color="auto"/>
        <w:right w:val="none" w:sz="0" w:space="0" w:color="auto"/>
      </w:divBdr>
    </w:div>
    <w:div w:id="1542472766">
      <w:bodyDiv w:val="1"/>
      <w:marLeft w:val="0"/>
      <w:marRight w:val="0"/>
      <w:marTop w:val="0"/>
      <w:marBottom w:val="0"/>
      <w:divBdr>
        <w:top w:val="none" w:sz="0" w:space="0" w:color="auto"/>
        <w:left w:val="none" w:sz="0" w:space="0" w:color="auto"/>
        <w:bottom w:val="none" w:sz="0" w:space="0" w:color="auto"/>
        <w:right w:val="none" w:sz="0" w:space="0" w:color="auto"/>
      </w:divBdr>
    </w:div>
    <w:div w:id="1589535843">
      <w:bodyDiv w:val="1"/>
      <w:marLeft w:val="0"/>
      <w:marRight w:val="0"/>
      <w:marTop w:val="0"/>
      <w:marBottom w:val="0"/>
      <w:divBdr>
        <w:top w:val="none" w:sz="0" w:space="0" w:color="auto"/>
        <w:left w:val="none" w:sz="0" w:space="0" w:color="auto"/>
        <w:bottom w:val="none" w:sz="0" w:space="0" w:color="auto"/>
        <w:right w:val="none" w:sz="0" w:space="0" w:color="auto"/>
      </w:divBdr>
    </w:div>
    <w:div w:id="1617250760">
      <w:bodyDiv w:val="1"/>
      <w:marLeft w:val="0"/>
      <w:marRight w:val="0"/>
      <w:marTop w:val="0"/>
      <w:marBottom w:val="0"/>
      <w:divBdr>
        <w:top w:val="none" w:sz="0" w:space="0" w:color="auto"/>
        <w:left w:val="none" w:sz="0" w:space="0" w:color="auto"/>
        <w:bottom w:val="none" w:sz="0" w:space="0" w:color="auto"/>
        <w:right w:val="none" w:sz="0" w:space="0" w:color="auto"/>
      </w:divBdr>
    </w:div>
    <w:div w:id="1687752834">
      <w:bodyDiv w:val="1"/>
      <w:marLeft w:val="0"/>
      <w:marRight w:val="0"/>
      <w:marTop w:val="0"/>
      <w:marBottom w:val="0"/>
      <w:divBdr>
        <w:top w:val="none" w:sz="0" w:space="0" w:color="auto"/>
        <w:left w:val="none" w:sz="0" w:space="0" w:color="auto"/>
        <w:bottom w:val="none" w:sz="0" w:space="0" w:color="auto"/>
        <w:right w:val="none" w:sz="0" w:space="0" w:color="auto"/>
      </w:divBdr>
    </w:div>
    <w:div w:id="1756433038">
      <w:bodyDiv w:val="1"/>
      <w:marLeft w:val="0"/>
      <w:marRight w:val="0"/>
      <w:marTop w:val="0"/>
      <w:marBottom w:val="0"/>
      <w:divBdr>
        <w:top w:val="none" w:sz="0" w:space="0" w:color="auto"/>
        <w:left w:val="none" w:sz="0" w:space="0" w:color="auto"/>
        <w:bottom w:val="none" w:sz="0" w:space="0" w:color="auto"/>
        <w:right w:val="none" w:sz="0" w:space="0" w:color="auto"/>
      </w:divBdr>
    </w:div>
    <w:div w:id="1774980040">
      <w:bodyDiv w:val="1"/>
      <w:marLeft w:val="0"/>
      <w:marRight w:val="0"/>
      <w:marTop w:val="0"/>
      <w:marBottom w:val="0"/>
      <w:divBdr>
        <w:top w:val="none" w:sz="0" w:space="0" w:color="auto"/>
        <w:left w:val="none" w:sz="0" w:space="0" w:color="auto"/>
        <w:bottom w:val="none" w:sz="0" w:space="0" w:color="auto"/>
        <w:right w:val="none" w:sz="0" w:space="0" w:color="auto"/>
      </w:divBdr>
    </w:div>
    <w:div w:id="1806896435">
      <w:bodyDiv w:val="1"/>
      <w:marLeft w:val="0"/>
      <w:marRight w:val="0"/>
      <w:marTop w:val="0"/>
      <w:marBottom w:val="0"/>
      <w:divBdr>
        <w:top w:val="none" w:sz="0" w:space="0" w:color="auto"/>
        <w:left w:val="none" w:sz="0" w:space="0" w:color="auto"/>
        <w:bottom w:val="none" w:sz="0" w:space="0" w:color="auto"/>
        <w:right w:val="none" w:sz="0" w:space="0" w:color="auto"/>
      </w:divBdr>
    </w:div>
    <w:div w:id="1888561730">
      <w:bodyDiv w:val="1"/>
      <w:marLeft w:val="0"/>
      <w:marRight w:val="0"/>
      <w:marTop w:val="0"/>
      <w:marBottom w:val="0"/>
      <w:divBdr>
        <w:top w:val="none" w:sz="0" w:space="0" w:color="auto"/>
        <w:left w:val="none" w:sz="0" w:space="0" w:color="auto"/>
        <w:bottom w:val="none" w:sz="0" w:space="0" w:color="auto"/>
        <w:right w:val="none" w:sz="0" w:space="0" w:color="auto"/>
      </w:divBdr>
    </w:div>
    <w:div w:id="1933197848">
      <w:bodyDiv w:val="1"/>
      <w:marLeft w:val="0"/>
      <w:marRight w:val="0"/>
      <w:marTop w:val="0"/>
      <w:marBottom w:val="0"/>
      <w:divBdr>
        <w:top w:val="none" w:sz="0" w:space="0" w:color="auto"/>
        <w:left w:val="none" w:sz="0" w:space="0" w:color="auto"/>
        <w:bottom w:val="none" w:sz="0" w:space="0" w:color="auto"/>
        <w:right w:val="none" w:sz="0" w:space="0" w:color="auto"/>
      </w:divBdr>
    </w:div>
    <w:div w:id="1959144796">
      <w:bodyDiv w:val="1"/>
      <w:marLeft w:val="0"/>
      <w:marRight w:val="0"/>
      <w:marTop w:val="0"/>
      <w:marBottom w:val="0"/>
      <w:divBdr>
        <w:top w:val="none" w:sz="0" w:space="0" w:color="auto"/>
        <w:left w:val="none" w:sz="0" w:space="0" w:color="auto"/>
        <w:bottom w:val="none" w:sz="0" w:space="0" w:color="auto"/>
        <w:right w:val="none" w:sz="0" w:space="0" w:color="auto"/>
      </w:divBdr>
    </w:div>
    <w:div w:id="1967075421">
      <w:bodyDiv w:val="1"/>
      <w:marLeft w:val="0"/>
      <w:marRight w:val="0"/>
      <w:marTop w:val="0"/>
      <w:marBottom w:val="0"/>
      <w:divBdr>
        <w:top w:val="none" w:sz="0" w:space="0" w:color="auto"/>
        <w:left w:val="none" w:sz="0" w:space="0" w:color="auto"/>
        <w:bottom w:val="none" w:sz="0" w:space="0" w:color="auto"/>
        <w:right w:val="none" w:sz="0" w:space="0" w:color="auto"/>
      </w:divBdr>
    </w:div>
    <w:div w:id="2064210517">
      <w:bodyDiv w:val="1"/>
      <w:marLeft w:val="0"/>
      <w:marRight w:val="0"/>
      <w:marTop w:val="0"/>
      <w:marBottom w:val="0"/>
      <w:divBdr>
        <w:top w:val="none" w:sz="0" w:space="0" w:color="auto"/>
        <w:left w:val="none" w:sz="0" w:space="0" w:color="auto"/>
        <w:bottom w:val="none" w:sz="0" w:space="0" w:color="auto"/>
        <w:right w:val="none" w:sz="0" w:space="0" w:color="auto"/>
      </w:divBdr>
    </w:div>
    <w:div w:id="209204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Dalvi</dc:creator>
  <cp:keywords/>
  <dc:description/>
  <cp:lastModifiedBy>Simran Dalvi</cp:lastModifiedBy>
  <cp:revision>13</cp:revision>
  <cp:lastPrinted>2024-08-09T11:55:00Z</cp:lastPrinted>
  <dcterms:created xsi:type="dcterms:W3CDTF">2024-08-08T13:46:00Z</dcterms:created>
  <dcterms:modified xsi:type="dcterms:W3CDTF">2024-08-25T12:05:00Z</dcterms:modified>
</cp:coreProperties>
</file>