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56"/>
          <w:szCs w:val="56"/>
        </w:rPr>
        <w:t xml:space="preserve">MODEL DEVELOPMENT DOCUMENT</w:t>
      </w:r>
    </w:p>
    <w:p>
      <w:pPr>
        <w:pBdr>
          <w:bottom w:val="single" w:color="2E75B6" w:sz="8" w:space="4"/>
        </w:pBdr>
        <w:spacing w:after="100" w:before="100"/>
        <w:jc w:val="center"/>
      </w:pPr>
      <w:r>
        <w:rPr>
          <w:rFonts w:ascii="Arial" w:cs="Arial" w:eastAsia="Arial" w:hAnsi="Arial"/>
          <w:b/>
          <w:bCs/>
          <w:color w:val="2E75B6"/>
          <w:sz w:val="36"/>
          <w:szCs w:val="36"/>
        </w:rPr>
        <w:t xml:space="preserve">Credit Card Default Prediction System</w:t>
      </w:r>
    </w:p>
    <w:p/>
    <w:p>
      <w:pPr>
        <w:spacing w:after="120" w:before="200"/>
        <w:jc w:val="center"/>
      </w:pPr>
      <w:r>
        <w:rPr>
          <w:rFonts w:ascii="Arial" w:cs="Arial" w:eastAsia="Arial" w:hAnsi="Arial"/>
          <w:i/>
          <w:iCs/>
          <w:color w:val="444444"/>
          <w:sz w:val="28"/>
          <w:szCs w:val="28"/>
        </w:rPr>
        <w:t xml:space="preserve">Good and Bad Customers for Granting Credit</w:t>
      </w:r>
    </w:p>
    <w:p/>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jc w:val="center"/>
            </w:pPr>
            <w:r>
              <w:rPr>
                <w:rFonts w:ascii="Arial" w:cs="Arial" w:eastAsia="Arial" w:hAnsi="Arial"/>
                <w:b/>
                <w:bCs/>
                <w:color w:val="1F3864"/>
                <w:sz w:val="22"/>
                <w:szCs w:val="22"/>
              </w:rPr>
              <w:t xml:space="preserve">Student Name</w:t>
            </w:r>
          </w:p>
        </w:tc>
        <w:tc>
          <w:tcPr>
            <w:tcW w:type="dxa" w:w="360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jc w:val="center"/>
            </w:pPr>
            <w:r>
              <w:rPr>
                <w:rFonts w:ascii="Arial" w:cs="Arial" w:eastAsia="Arial" w:hAnsi="Arial"/>
                <w:color w:val="444444"/>
                <w:sz w:val="22"/>
                <w:szCs w:val="22"/>
              </w:rPr>
              <w:t xml:space="preserve">Simran</w:t>
            </w:r>
          </w:p>
        </w:tc>
      </w:tr>
      <w:tr>
        <w:tc>
          <w:tcPr>
            <w:tcW w:type="dxa" w:w="360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jc w:val="center"/>
            </w:pPr>
            <w:r>
              <w:rPr>
                <w:rFonts w:ascii="Arial" w:cs="Arial" w:eastAsia="Arial" w:hAnsi="Arial"/>
                <w:b/>
                <w:bCs/>
                <w:color w:val="1F3864"/>
                <w:sz w:val="22"/>
                <w:szCs w:val="22"/>
              </w:rPr>
              <w:t xml:space="preserve">Batch</w:t>
            </w:r>
          </w:p>
        </w:tc>
        <w:tc>
          <w:tcPr>
            <w:tcW w:type="dxa" w:w="360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jc w:val="center"/>
            </w:pPr>
            <w:r>
              <w:rPr>
                <w:rFonts w:ascii="Arial" w:cs="Arial" w:eastAsia="Arial" w:hAnsi="Arial"/>
                <w:color w:val="444444"/>
                <w:sz w:val="22"/>
                <w:szCs w:val="22"/>
              </w:rPr>
              <w:t xml:space="preserve">B13</w:t>
            </w:r>
          </w:p>
        </w:tc>
      </w:tr>
      <w:tr>
        <w:tc>
          <w:tcPr>
            <w:tcW w:type="dxa" w:w="360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jc w:val="center"/>
            </w:pPr>
            <w:r>
              <w:rPr>
                <w:rFonts w:ascii="Arial" w:cs="Arial" w:eastAsia="Arial" w:hAnsi="Arial"/>
                <w:b/>
                <w:bCs/>
                <w:color w:val="1F3864"/>
                <w:sz w:val="22"/>
                <w:szCs w:val="22"/>
              </w:rPr>
              <w:t xml:space="preserve">Project Type</w:t>
            </w:r>
          </w:p>
        </w:tc>
        <w:tc>
          <w:tcPr>
            <w:tcW w:type="dxa" w:w="360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jc w:val="center"/>
            </w:pPr>
            <w:r>
              <w:rPr>
                <w:rFonts w:ascii="Arial" w:cs="Arial" w:eastAsia="Arial" w:hAnsi="Arial"/>
                <w:color w:val="444444"/>
                <w:sz w:val="22"/>
                <w:szCs w:val="22"/>
              </w:rPr>
              <w:t xml:space="preserve">Classification / ML</w:t>
            </w:r>
          </w:p>
        </w:tc>
      </w:tr>
      <w:tr>
        <w:tc>
          <w:tcPr>
            <w:tcW w:type="dxa" w:w="360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jc w:val="center"/>
            </w:pPr>
            <w:r>
              <w:rPr>
                <w:rFonts w:ascii="Arial" w:cs="Arial" w:eastAsia="Arial" w:hAnsi="Arial"/>
                <w:b/>
                <w:bCs/>
                <w:color w:val="1F3864"/>
                <w:sz w:val="22"/>
                <w:szCs w:val="22"/>
              </w:rPr>
              <w:t xml:space="preserve">Dataset</w:t>
            </w:r>
          </w:p>
        </w:tc>
        <w:tc>
          <w:tcPr>
            <w:tcW w:type="dxa" w:w="360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jc w:val="center"/>
            </w:pPr>
            <w:r>
              <w:rPr>
                <w:rFonts w:ascii="Arial" w:cs="Arial" w:eastAsia="Arial" w:hAnsi="Arial"/>
                <w:color w:val="444444"/>
                <w:sz w:val="22"/>
                <w:szCs w:val="22"/>
              </w:rPr>
              <w:t xml:space="preserve">UCI Credit Card Default (Taiwan)</w:t>
            </w:r>
          </w:p>
        </w:tc>
      </w:tr>
      <w:tr>
        <w:tc>
          <w:tcPr>
            <w:tcW w:type="dxa" w:w="360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jc w:val="center"/>
            </w:pPr>
            <w:r>
              <w:rPr>
                <w:rFonts w:ascii="Arial" w:cs="Arial" w:eastAsia="Arial" w:hAnsi="Arial"/>
                <w:b/>
                <w:bCs/>
                <w:color w:val="1F3864"/>
                <w:sz w:val="22"/>
                <w:szCs w:val="22"/>
              </w:rPr>
              <w:t xml:space="preserve">Submission Year</w:t>
            </w:r>
          </w:p>
        </w:tc>
        <w:tc>
          <w:tcPr>
            <w:tcW w:type="dxa" w:w="360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pPr>
              <w:jc w:val="center"/>
            </w:pPr>
            <w:r>
              <w:rPr>
                <w:rFonts w:ascii="Arial" w:cs="Arial" w:eastAsia="Arial" w:hAnsi="Arial"/>
                <w:color w:val="444444"/>
                <w:sz w:val="22"/>
                <w:szCs w:val="22"/>
              </w:rPr>
              <w:t xml:space="preserve">2025</w:t>
            </w:r>
          </w:p>
        </w:tc>
      </w:tr>
    </w:tbl>
    <w:p>
      <w:r>
        <w:br/>
      </w:r>
    </w:p>
    <w:p>
      <w:pPr>
        <w:pStyle w:val="Heading1"/>
        <w:pBdr>
          <w:bottom w:val="single" w:color="2E75B6" w:sz="6" w:space="1"/>
        </w:pBdr>
        <w:spacing w:after="160" w:before="400"/>
      </w:pPr>
      <w:r>
        <w:rPr>
          <w:rFonts w:ascii="Arial" w:cs="Arial" w:eastAsia="Arial" w:hAnsi="Arial"/>
          <w:b/>
          <w:bCs/>
          <w:color w:val="1F3864"/>
        </w:rPr>
        <w:t xml:space="preserve">1. Project Overview</w:t>
      </w:r>
    </w:p>
    <w:p>
      <w:pPr>
        <w:pStyle w:val="Heading2"/>
        <w:spacing w:after="120" w:before="280"/>
      </w:pPr>
      <w:r>
        <w:rPr>
          <w:rFonts w:ascii="Arial" w:cs="Arial" w:eastAsia="Arial" w:hAnsi="Arial"/>
          <w:b/>
          <w:bCs/>
          <w:color w:val="4472C4"/>
        </w:rPr>
        <w:t xml:space="preserve">1.1 Title</w:t>
      </w:r>
    </w:p>
    <w:p>
      <w:pPr>
        <w:spacing w:after="100" w:before="80"/>
        <w:jc w:val="both"/>
      </w:pPr>
      <w:r>
        <w:rPr>
          <w:rFonts w:ascii="Arial" w:cs="Arial" w:eastAsia="Arial" w:hAnsi="Arial"/>
          <w:b w:val="false"/>
          <w:bCs w:val="false"/>
          <w:color w:val="444444"/>
          <w:sz w:val="22"/>
          <w:szCs w:val="22"/>
        </w:rPr>
        <w:t xml:space="preserve">Credit Card Default Prediction System — Good and Bad Customers for Granting Credit</w:t>
      </w:r>
    </w:p>
    <w:p>
      <w:pPr>
        <w:pStyle w:val="Heading2"/>
        <w:spacing w:after="120" w:before="280"/>
      </w:pPr>
      <w:r>
        <w:rPr>
          <w:rFonts w:ascii="Arial" w:cs="Arial" w:eastAsia="Arial" w:hAnsi="Arial"/>
          <w:b/>
          <w:bCs/>
          <w:color w:val="4472C4"/>
        </w:rPr>
        <w:t xml:space="preserve">1.2 Problem Statement</w:t>
      </w:r>
    </w:p>
    <w:p>
      <w:pPr>
        <w:spacing w:after="100" w:before="80"/>
        <w:jc w:val="both"/>
      </w:pPr>
      <w:r>
        <w:rPr>
          <w:rFonts w:ascii="Arial" w:cs="Arial" w:eastAsia="Arial" w:hAnsi="Arial"/>
          <w:b w:val="false"/>
          <w:bCs w:val="false"/>
          <w:color w:val="444444"/>
          <w:sz w:val="22"/>
          <w:szCs w:val="22"/>
        </w:rPr>
        <w:t xml:space="preserve">The banking sector faces a critical challenge in managing credit risk. When credit cards are issued without an effective assessment of the customer's repayment capability, the financial institution is exposed to significant default risk — the risk that a borrower will fail to meet their repayment obligations. This project addresses that challenge by building a supervised machine learning classification system that predicts whether a credit card client will default on their payment in the following month.</w:t>
      </w:r>
    </w:p>
    <w:p>
      <w:pPr>
        <w:spacing w:after="100" w:before="80"/>
        <w:jc w:val="both"/>
      </w:pPr>
      <w:r>
        <w:rPr>
          <w:rFonts w:ascii="Arial" w:cs="Arial" w:eastAsia="Arial" w:hAnsi="Arial"/>
          <w:b w:val="false"/>
          <w:bCs w:val="false"/>
          <w:color w:val="444444"/>
          <w:sz w:val="22"/>
          <w:szCs w:val="22"/>
        </w:rPr>
        <w:t xml:space="preserve">Banks have historically relied on rule-based systems and credit scores, but these methods are rigid and fail to capture the complex, non-linear patterns hidden in customer behaviour. A data-driven machine learning model offers the ability to learn these patterns automatically and provide more accurate, personalized risk assessments.</w:t>
      </w:r>
    </w:p>
    <w:p>
      <w:pPr>
        <w:pStyle w:val="Heading2"/>
        <w:spacing w:after="120" w:before="280"/>
      </w:pPr>
      <w:r>
        <w:rPr>
          <w:rFonts w:ascii="Arial" w:cs="Arial" w:eastAsia="Arial" w:hAnsi="Arial"/>
          <w:b/>
          <w:bCs/>
          <w:color w:val="4472C4"/>
        </w:rPr>
        <w:t xml:space="preserve">1.3 Objective</w:t>
      </w:r>
    </w:p>
    <w:p>
      <w:pPr>
        <w:spacing w:after="100" w:before="80"/>
        <w:jc w:val="both"/>
      </w:pPr>
      <w:r>
        <w:rPr>
          <w:rFonts w:ascii="Arial" w:cs="Arial" w:eastAsia="Arial" w:hAnsi="Arial"/>
          <w:b w:val="false"/>
          <w:bCs w:val="false"/>
          <w:color w:val="444444"/>
          <w:sz w:val="22"/>
          <w:szCs w:val="22"/>
        </w:rPr>
        <w:t xml:space="preserve">The primary objectives of this project are:</w:t>
      </w:r>
    </w:p>
    <w:p>
      <w:pPr>
        <w:pStyle w:val="ListParagraph"/>
        <w:numPr>
          <w:ilvl w:val="0"/>
          <w:numId w:val="2"/>
        </w:numPr>
        <w:spacing w:after="40" w:before="40"/>
      </w:pPr>
      <w:r>
        <w:rPr>
          <w:rFonts w:ascii="Arial" w:cs="Arial" w:eastAsia="Arial" w:hAnsi="Arial"/>
          <w:color w:val="444444"/>
          <w:sz w:val="22"/>
          <w:szCs w:val="22"/>
        </w:rPr>
        <w:t xml:space="preserve">Build a robust binary classification model to predict credit card default (yes/no) for the next month</w:t>
      </w:r>
    </w:p>
    <w:p>
      <w:pPr>
        <w:pStyle w:val="ListParagraph"/>
        <w:numPr>
          <w:ilvl w:val="0"/>
          <w:numId w:val="2"/>
        </w:numPr>
        <w:spacing w:after="40" w:before="40"/>
      </w:pPr>
      <w:r>
        <w:rPr>
          <w:rFonts w:ascii="Arial" w:cs="Arial" w:eastAsia="Arial" w:hAnsi="Arial"/>
          <w:color w:val="444444"/>
          <w:sz w:val="22"/>
          <w:szCs w:val="22"/>
        </w:rPr>
        <w:t xml:space="preserve">Compare the performance of multiple machine learning algorithms including Logistic Regression, Decision Tree, Random Forest, K-Nearest Neighbours, Support Vector Machine, Naive Bayes, XGBoost, and Artificial Neural Network</w:t>
      </w:r>
    </w:p>
    <w:p>
      <w:pPr>
        <w:pStyle w:val="ListParagraph"/>
        <w:numPr>
          <w:ilvl w:val="0"/>
          <w:numId w:val="2"/>
        </w:numPr>
        <w:spacing w:after="40" w:before="40"/>
      </w:pPr>
      <w:r>
        <w:rPr>
          <w:rFonts w:ascii="Arial" w:cs="Arial" w:eastAsia="Arial" w:hAnsi="Arial"/>
          <w:color w:val="444444"/>
          <w:sz w:val="22"/>
          <w:szCs w:val="22"/>
        </w:rPr>
        <w:t xml:space="preserve">Perform comprehensive exploratory data analysis to understand the key drivers of default</w:t>
      </w:r>
    </w:p>
    <w:p>
      <w:pPr>
        <w:pStyle w:val="ListParagraph"/>
        <w:numPr>
          <w:ilvl w:val="0"/>
          <w:numId w:val="2"/>
        </w:numPr>
        <w:spacing w:after="40" w:before="40"/>
      </w:pPr>
      <w:r>
        <w:rPr>
          <w:rFonts w:ascii="Arial" w:cs="Arial" w:eastAsia="Arial" w:hAnsi="Arial"/>
          <w:color w:val="444444"/>
          <w:sz w:val="22"/>
          <w:szCs w:val="22"/>
        </w:rPr>
        <w:t xml:space="preserve">Apply feature engineering and transformation techniques to improve model performance</w:t>
      </w:r>
    </w:p>
    <w:p>
      <w:pPr>
        <w:pStyle w:val="ListParagraph"/>
        <w:numPr>
          <w:ilvl w:val="0"/>
          <w:numId w:val="2"/>
        </w:numPr>
        <w:spacing w:after="40" w:before="40"/>
      </w:pPr>
      <w:r>
        <w:rPr>
          <w:rFonts w:ascii="Arial" w:cs="Arial" w:eastAsia="Arial" w:hAnsi="Arial"/>
          <w:color w:val="444444"/>
          <w:sz w:val="22"/>
          <w:szCs w:val="22"/>
        </w:rPr>
        <w:t xml:space="preserve">Deploy the best-performing model as an interactive web application for real-time risk scoring</w:t>
      </w:r>
    </w:p>
    <w:p>
      <w:pPr>
        <w:pStyle w:val="ListParagraph"/>
        <w:numPr>
          <w:ilvl w:val="0"/>
          <w:numId w:val="2"/>
        </w:numPr>
        <w:spacing w:after="40" w:before="40"/>
      </w:pPr>
      <w:r>
        <w:rPr>
          <w:rFonts w:ascii="Arial" w:cs="Arial" w:eastAsia="Arial" w:hAnsi="Arial"/>
          <w:color w:val="444444"/>
          <w:sz w:val="22"/>
          <w:szCs w:val="22"/>
        </w:rPr>
        <w:t xml:space="preserve">Minimize financial risk for the bank while maximizing the predictive utility of the model</w:t>
      </w:r>
    </w:p>
    <w:p>
      <w:pPr>
        <w:pStyle w:val="Heading2"/>
        <w:spacing w:after="120" w:before="280"/>
      </w:pPr>
      <w:r>
        <w:rPr>
          <w:rFonts w:ascii="Arial" w:cs="Arial" w:eastAsia="Arial" w:hAnsi="Arial"/>
          <w:b/>
          <w:bCs/>
          <w:color w:val="4472C4"/>
        </w:rPr>
        <w:t xml:space="preserve">1.4 Business Motivation</w:t>
      </w:r>
    </w:p>
    <w:p>
      <w:pPr>
        <w:spacing w:after="100" w:before="80"/>
        <w:jc w:val="both"/>
      </w:pPr>
      <w:r>
        <w:rPr>
          <w:rFonts w:ascii="Arial" w:cs="Arial" w:eastAsia="Arial" w:hAnsi="Arial"/>
          <w:b w:val="false"/>
          <w:bCs w:val="false"/>
          <w:color w:val="444444"/>
          <w:sz w:val="22"/>
          <w:szCs w:val="22"/>
        </w:rPr>
        <w:t xml:space="preserve">Credit default prediction is one of the highest-value applications of machine learning in the financial domain. A one-percentage-point improvement in default detection can translate to millions of dollars in loss prevention for a mid-sized bank. Beyond financial returns, accurate risk models enable:</w:t>
      </w:r>
    </w:p>
    <w:p>
      <w:pPr>
        <w:pStyle w:val="ListParagraph"/>
        <w:numPr>
          <w:ilvl w:val="0"/>
          <w:numId w:val="2"/>
        </w:numPr>
        <w:spacing w:after="40" w:before="40"/>
      </w:pPr>
      <w:r>
        <w:rPr>
          <w:rFonts w:ascii="Arial" w:cs="Arial" w:eastAsia="Arial" w:hAnsi="Arial"/>
          <w:color w:val="444444"/>
          <w:sz w:val="22"/>
          <w:szCs w:val="22"/>
        </w:rPr>
        <w:t xml:space="preserve">Fairer credit decisions based on data rather than subjective judgment</w:t>
      </w:r>
    </w:p>
    <w:p>
      <w:pPr>
        <w:pStyle w:val="ListParagraph"/>
        <w:numPr>
          <w:ilvl w:val="0"/>
          <w:numId w:val="2"/>
        </w:numPr>
        <w:spacing w:after="40" w:before="40"/>
      </w:pPr>
      <w:r>
        <w:rPr>
          <w:rFonts w:ascii="Arial" w:cs="Arial" w:eastAsia="Arial" w:hAnsi="Arial"/>
          <w:color w:val="444444"/>
          <w:sz w:val="22"/>
          <w:szCs w:val="22"/>
        </w:rPr>
        <w:t xml:space="preserve">Personalized credit limit recommendations for individual customers</w:t>
      </w:r>
    </w:p>
    <w:p>
      <w:pPr>
        <w:pStyle w:val="ListParagraph"/>
        <w:numPr>
          <w:ilvl w:val="0"/>
          <w:numId w:val="2"/>
        </w:numPr>
        <w:spacing w:after="40" w:before="40"/>
      </w:pPr>
      <w:r>
        <w:rPr>
          <w:rFonts w:ascii="Arial" w:cs="Arial" w:eastAsia="Arial" w:hAnsi="Arial"/>
          <w:color w:val="444444"/>
          <w:sz w:val="22"/>
          <w:szCs w:val="22"/>
        </w:rPr>
        <w:t xml:space="preserve">Early intervention for customers showing early warning signs of financial distress</w:t>
      </w:r>
    </w:p>
    <w:p>
      <w:pPr>
        <w:pStyle w:val="ListParagraph"/>
        <w:numPr>
          <w:ilvl w:val="0"/>
          <w:numId w:val="2"/>
        </w:numPr>
        <w:spacing w:after="40" w:before="40"/>
      </w:pPr>
      <w:r>
        <w:rPr>
          <w:rFonts w:ascii="Arial" w:cs="Arial" w:eastAsia="Arial" w:hAnsi="Arial"/>
          <w:color w:val="444444"/>
          <w:sz w:val="22"/>
          <w:szCs w:val="22"/>
        </w:rPr>
        <w:t xml:space="preserve">Regulatory compliance with risk management guidelines (Basel III, RBI norms)</w:t>
      </w:r>
    </w:p>
    <w:p>
      <w:r>
        <w:br/>
      </w:r>
    </w:p>
    <w:p>
      <w:pPr>
        <w:pStyle w:val="Heading1"/>
        <w:pBdr>
          <w:bottom w:val="single" w:color="2E75B6" w:sz="6" w:space="1"/>
        </w:pBdr>
        <w:spacing w:after="160" w:before="400"/>
      </w:pPr>
      <w:r>
        <w:rPr>
          <w:rFonts w:ascii="Arial" w:cs="Arial" w:eastAsia="Arial" w:hAnsi="Arial"/>
          <w:b/>
          <w:bCs/>
          <w:color w:val="1F3864"/>
        </w:rPr>
        <w:t xml:space="preserve">2. Dataset Description</w:t>
      </w:r>
    </w:p>
    <w:p>
      <w:pPr>
        <w:pStyle w:val="Heading2"/>
        <w:spacing w:after="120" w:before="280"/>
      </w:pPr>
      <w:r>
        <w:rPr>
          <w:rFonts w:ascii="Arial" w:cs="Arial" w:eastAsia="Arial" w:hAnsi="Arial"/>
          <w:b/>
          <w:bCs/>
          <w:color w:val="4472C4"/>
        </w:rPr>
        <w:t xml:space="preserve">2.1 Source and Context</w:t>
      </w:r>
    </w:p>
    <w:p>
      <w:pPr>
        <w:spacing w:after="100" w:before="80"/>
        <w:jc w:val="both"/>
      </w:pPr>
      <w:r>
        <w:rPr>
          <w:rFonts w:ascii="Arial" w:cs="Arial" w:eastAsia="Arial" w:hAnsi="Arial"/>
          <w:b w:val="false"/>
          <w:bCs w:val="false"/>
          <w:color w:val="444444"/>
          <w:sz w:val="22"/>
          <w:szCs w:val="22"/>
        </w:rPr>
        <w:t xml:space="preserve">The dataset used in this project is the UCI Machine Learning Repository's Default of Credit Card Clients Dataset, originally collected from a major Taiwanese bank. It contains demographic information, credit history, repayment behaviour, and billing data for 30,000 credit card clients over a six-month period spanning April 2005 to September 2005.</w:t>
      </w:r>
    </w:p>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UCI Machine Learning Repository (Yeh, I. C., &amp; Lien, C. H., 2009)</w:t>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Records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30,000 customer observations</w:t>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25 variables (24 features + 1 target variable)</w:t>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 Period</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April 2005 to September 2005 (Taiwan)</w:t>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Binary Classification (0 = No Default, 1 = Default)</w:t>
            </w:r>
          </w:p>
        </w:tc>
      </w:tr>
    </w:tbl>
    <w:p/>
    <w:p>
      <w:pPr>
        <w:pStyle w:val="Heading2"/>
        <w:spacing w:after="120" w:before="280"/>
      </w:pPr>
      <w:r>
        <w:rPr>
          <w:rFonts w:ascii="Arial" w:cs="Arial" w:eastAsia="Arial" w:hAnsi="Arial"/>
          <w:b/>
          <w:bCs/>
          <w:color w:val="4472C4"/>
        </w:rPr>
        <w:t xml:space="preserve">2.2 Feature Descriptions</w:t>
      </w:r>
    </w:p>
    <w:p>
      <w:pPr>
        <w:spacing w:after="100" w:before="80"/>
        <w:jc w:val="both"/>
      </w:pPr>
      <w:r>
        <w:rPr>
          <w:rFonts w:ascii="Arial" w:cs="Arial" w:eastAsia="Arial" w:hAnsi="Arial"/>
          <w:b w:val="false"/>
          <w:bCs w:val="false"/>
          <w:color w:val="444444"/>
          <w:sz w:val="22"/>
          <w:szCs w:val="22"/>
        </w:rPr>
        <w:t xml:space="preserve">The dataset contains four categories of features:</w:t>
      </w:r>
    </w:p>
    <w:p>
      <w:pPr>
        <w:pStyle w:val="Heading3"/>
        <w:spacing w:after="80" w:before="200"/>
      </w:pPr>
      <w:r>
        <w:rPr>
          <w:rFonts w:ascii="Arial" w:cs="Arial" w:eastAsia="Arial" w:hAnsi="Arial"/>
          <w:b/>
          <w:bCs/>
          <w:color w:val="555555"/>
        </w:rPr>
        <w:t xml:space="preserve">Personal / Demographic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Integer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Unique client identifier (dropped before modelling)</w:t>
            </w:r>
          </w:p>
        </w:tc>
      </w:tr>
      <w:tr>
        <w:tc>
          <w:tcPr>
            <w:tcW w:type="dxa" w:w="2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LIMIT_BAL</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Float</w:t>
            </w:r>
          </w:p>
        </w:tc>
        <w:tc>
          <w:tcPr>
            <w:tcW w:type="dxa" w:w="53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Credit limit in New Taiwan (NT) dollars — individual + family credit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SEX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 = Male, 2 = Female</w:t>
            </w:r>
          </w:p>
        </w:tc>
      </w:tr>
      <w:tr>
        <w:tc>
          <w:tcPr>
            <w:tcW w:type="dxa" w:w="2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EDUCATION</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Categorical</w:t>
            </w:r>
          </w:p>
        </w:tc>
        <w:tc>
          <w:tcPr>
            <w:tcW w:type="dxa" w:w="53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1 = Graduate School, 2 = University, 3 = High School, 4 = Others, 5/6 = Unknown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MARRIAGE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Categorical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 = Married, 2 = Single, 3 = Others</w:t>
            </w:r>
          </w:p>
        </w:tc>
      </w:tr>
      <w:tr>
        <w:tc>
          <w:tcPr>
            <w:tcW w:type="dxa" w:w="2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AGE</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Integer</w:t>
            </w:r>
          </w:p>
        </w:tc>
        <w:tc>
          <w:tcPr>
            <w:tcW w:type="dxa" w:w="53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Customer age in years</w:t>
            </w:r>
          </w:p>
        </w:tc>
      </w:tr>
    </w:tbl>
    <w:p/>
    <w:p>
      <w:pPr>
        <w:pStyle w:val="Heading3"/>
        <w:spacing w:after="80" w:before="200"/>
      </w:pPr>
      <w:r>
        <w:rPr>
          <w:rFonts w:ascii="Arial" w:cs="Arial" w:eastAsia="Arial" w:hAnsi="Arial"/>
          <w:b/>
          <w:bCs/>
          <w:color w:val="555555"/>
        </w:rPr>
        <w:t xml:space="preserve">Repayment History Features (PAY_0 to PAY_6)</w:t>
      </w:r>
    </w:p>
    <w:p>
      <w:pPr>
        <w:spacing w:after="100" w:before="80"/>
        <w:jc w:val="both"/>
      </w:pPr>
      <w:r>
        <w:rPr>
          <w:rFonts w:ascii="Arial" w:cs="Arial" w:eastAsia="Arial" w:hAnsi="Arial"/>
          <w:b w:val="false"/>
          <w:bCs w:val="false"/>
          <w:color w:val="444444"/>
          <w:sz w:val="22"/>
          <w:szCs w:val="22"/>
        </w:rPr>
        <w:t xml:space="preserve">Monthly repayment status from September 2005 (PAY_0) to April 2005 (PAY_6). Scale: -1 = pay duly; 1 = one month delay; 2 = two months delay; ... 9 = nine or more months delay.</w:t>
      </w:r>
    </w:p>
    <w:p/>
    <w:p>
      <w:pPr>
        <w:pStyle w:val="Heading3"/>
        <w:spacing w:after="80" w:before="200"/>
      </w:pPr>
      <w:r>
        <w:rPr>
          <w:rFonts w:ascii="Arial" w:cs="Arial" w:eastAsia="Arial" w:hAnsi="Arial"/>
          <w:b/>
          <w:bCs/>
          <w:color w:val="555555"/>
        </w:rPr>
        <w:t xml:space="preserve">Bill Statement Features (BILL_AMT1 to BILL_AMT6)</w:t>
      </w:r>
    </w:p>
    <w:p>
      <w:pPr>
        <w:spacing w:after="100" w:before="80"/>
        <w:jc w:val="both"/>
      </w:pPr>
      <w:r>
        <w:rPr>
          <w:rFonts w:ascii="Arial" w:cs="Arial" w:eastAsia="Arial" w:hAnsi="Arial"/>
          <w:b w:val="false"/>
          <w:bCs w:val="false"/>
          <w:color w:val="444444"/>
          <w:sz w:val="22"/>
          <w:szCs w:val="22"/>
        </w:rPr>
        <w:t xml:space="preserve">Amount of bill statement in NT dollars for each month from September 2005 (BILL_AMT1) to April 2005 (BILL_AMT6). Values can be negative (credit refunds applied).</w:t>
      </w:r>
    </w:p>
    <w:p/>
    <w:p>
      <w:pPr>
        <w:pStyle w:val="Heading3"/>
        <w:spacing w:after="80" w:before="200"/>
      </w:pPr>
      <w:r>
        <w:rPr>
          <w:rFonts w:ascii="Arial" w:cs="Arial" w:eastAsia="Arial" w:hAnsi="Arial"/>
          <w:b/>
          <w:bCs/>
          <w:color w:val="555555"/>
        </w:rPr>
        <w:t xml:space="preserve">Previous Payment Features (PAY_AMT1 to PAY_AMT6)</w:t>
      </w:r>
    </w:p>
    <w:p>
      <w:pPr>
        <w:spacing w:after="100" w:before="80"/>
        <w:jc w:val="both"/>
      </w:pPr>
      <w:r>
        <w:rPr>
          <w:rFonts w:ascii="Arial" w:cs="Arial" w:eastAsia="Arial" w:hAnsi="Arial"/>
          <w:b w:val="false"/>
          <w:bCs w:val="false"/>
          <w:color w:val="444444"/>
          <w:sz w:val="22"/>
          <w:szCs w:val="22"/>
        </w:rPr>
        <w:t xml:space="preserve">Amount actually paid by the customer in each month from September 2005 (PAY_AMT1) to April 2005 (PAY_AMT6), measured in NT dollars.</w:t>
      </w:r>
    </w:p>
    <w:p/>
    <w:p>
      <w:pPr>
        <w:pStyle w:val="Heading3"/>
        <w:spacing w:after="80" w:before="200"/>
      </w:pPr>
      <w:r>
        <w:rPr>
          <w:rFonts w:ascii="Arial" w:cs="Arial" w:eastAsia="Arial" w:hAnsi="Arial"/>
          <w:b/>
          <w:bCs/>
          <w:color w:val="555555"/>
        </w:rPr>
        <w:t xml:space="preserve">Target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500"/>
        <w:gridCol w:w="21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Percentage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No Default (Creditworthy)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23,364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77.88%</w:t>
            </w:r>
          </w:p>
        </w:tc>
      </w:tr>
      <w:tr>
        <w:tc>
          <w:tcPr>
            <w:tcW w:type="dxa" w:w="1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1</w:t>
            </w:r>
          </w:p>
        </w:tc>
        <w:tc>
          <w:tcPr>
            <w:tcW w:type="dxa" w:w="3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Default (High Risk)</w:t>
            </w:r>
          </w:p>
        </w:tc>
        <w:tc>
          <w:tcPr>
            <w:tcW w:type="dxa" w:w="2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6,636</w:t>
            </w:r>
          </w:p>
        </w:tc>
        <w:tc>
          <w:tcPr>
            <w:tcW w:type="dxa" w:w="2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22.12%</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2"/>
              <w:bottom w:val="none" w:color="FFFFFF" w:sz="0"/>
              <w:right w:val="none" w:color="FFFFFF" w:sz="0"/>
            </w:tcBorders>
            <w:shd w:fill="EBF3FB" w:val="clear"/>
            <w:tcMar>
              <w:top w:type="dxa" w:w="120"/>
              <w:left w:type="dxa" w:w="200"/>
              <w:bottom w:type="dxa" w:w="120"/>
              <w:right w:type="dxa" w:w="120"/>
            </w:tcMar>
          </w:tcPr>
          <w:p>
            <w:r>
              <w:rPr>
                <w:rFonts w:ascii="Arial" w:cs="Arial" w:eastAsia="Arial" w:hAnsi="Arial"/>
                <w:b/>
                <w:bCs/>
                <w:color w:val="1F3864"/>
                <w:sz w:val="22"/>
                <w:szCs w:val="22"/>
              </w:rPr>
              <w:t xml:space="preserve">Class Imbalance Observation</w:t>
            </w:r>
          </w:p>
          <w:p>
            <w:pPr>
              <w:spacing w:before="60"/>
            </w:pPr>
            <w:r>
              <w:rPr>
                <w:rFonts w:ascii="Arial" w:cs="Arial" w:eastAsia="Arial" w:hAnsi="Arial"/>
                <w:color w:val="444444"/>
                <w:sz w:val="20"/>
                <w:szCs w:val="20"/>
              </w:rPr>
              <w:t xml:space="preserve">The dataset exhibits significant class imbalance with a 77.88% vs 22.12% split. This means a naive model that always predicts 'No Default' would achieve 77.88% accuracy while being completely useless for the actual business objective. This imbalance was addressed using SMOTE (Synthetic Minority Oversampling Technique) in our improved modelling pipeline.</w:t>
            </w:r>
          </w:p>
        </w:tc>
      </w:tr>
    </w:tbl>
    <w:p>
      <w:r>
        <w:br/>
      </w:r>
    </w:p>
    <w:p>
      <w:pPr>
        <w:pStyle w:val="Heading1"/>
        <w:pBdr>
          <w:bottom w:val="single" w:color="2E75B6" w:sz="6" w:space="1"/>
        </w:pBdr>
        <w:spacing w:after="160" w:before="400"/>
      </w:pPr>
      <w:r>
        <w:rPr>
          <w:rFonts w:ascii="Arial" w:cs="Arial" w:eastAsia="Arial" w:hAnsi="Arial"/>
          <w:b/>
          <w:bCs/>
          <w:color w:val="1F3864"/>
        </w:rPr>
        <w:t xml:space="preserve">3. Exploratory Data Analysis (EDA)</w:t>
      </w:r>
    </w:p>
    <w:p>
      <w:pPr>
        <w:pStyle w:val="Heading2"/>
        <w:spacing w:after="120" w:before="280"/>
      </w:pPr>
      <w:r>
        <w:rPr>
          <w:rFonts w:ascii="Arial" w:cs="Arial" w:eastAsia="Arial" w:hAnsi="Arial"/>
          <w:b/>
          <w:bCs/>
          <w:color w:val="4472C4"/>
        </w:rPr>
        <w:t xml:space="preserve">3.1 Initial Data Inspection</w:t>
      </w:r>
    </w:p>
    <w:p>
      <w:pPr>
        <w:spacing w:after="100" w:before="80"/>
        <w:jc w:val="both"/>
      </w:pPr>
      <w:r>
        <w:rPr>
          <w:rFonts w:ascii="Arial" w:cs="Arial" w:eastAsia="Arial" w:hAnsi="Arial"/>
          <w:b w:val="false"/>
          <w:bCs w:val="false"/>
          <w:color w:val="444444"/>
          <w:sz w:val="22"/>
          <w:szCs w:val="22"/>
        </w:rPr>
        <w:t xml:space="preserve">The dataset was loaded using the pandas library and inspected for basic properties:</w:t>
      </w:r>
    </w:p>
    <w:p>
      <w:pPr>
        <w:pStyle w:val="ListParagraph"/>
        <w:numPr>
          <w:ilvl w:val="0"/>
          <w:numId w:val="2"/>
        </w:numPr>
        <w:spacing w:after="40" w:before="40"/>
      </w:pPr>
      <w:r>
        <w:rPr>
          <w:rFonts w:ascii="Arial" w:cs="Arial" w:eastAsia="Arial" w:hAnsi="Arial"/>
          <w:color w:val="444444"/>
          <w:sz w:val="22"/>
          <w:szCs w:val="22"/>
        </w:rPr>
        <w:t xml:space="preserve">Shape: 30,000 rows and 25 columns</w:t>
      </w:r>
    </w:p>
    <w:p>
      <w:pPr>
        <w:pStyle w:val="ListParagraph"/>
        <w:numPr>
          <w:ilvl w:val="0"/>
          <w:numId w:val="2"/>
        </w:numPr>
        <w:spacing w:after="40" w:before="40"/>
      </w:pPr>
      <w:r>
        <w:rPr>
          <w:rFonts w:ascii="Arial" w:cs="Arial" w:eastAsia="Arial" w:hAnsi="Arial"/>
          <w:color w:val="444444"/>
          <w:sz w:val="22"/>
          <w:szCs w:val="22"/>
        </w:rPr>
        <w:t xml:space="preserve">Data Types: 12 integer columns and 13 float64 columns — no object/string columns</w:t>
      </w:r>
    </w:p>
    <w:p>
      <w:pPr>
        <w:pStyle w:val="ListParagraph"/>
        <w:numPr>
          <w:ilvl w:val="0"/>
          <w:numId w:val="2"/>
        </w:numPr>
        <w:spacing w:after="40" w:before="40"/>
      </w:pPr>
      <w:r>
        <w:rPr>
          <w:rFonts w:ascii="Arial" w:cs="Arial" w:eastAsia="Arial" w:hAnsi="Arial"/>
          <w:color w:val="444444"/>
          <w:sz w:val="22"/>
          <w:szCs w:val="22"/>
        </w:rPr>
        <w:t xml:space="preserve">Missing Values: Zero missing values across all 25 columns (complete dataset)</w:t>
      </w:r>
    </w:p>
    <w:p>
      <w:pPr>
        <w:pStyle w:val="ListParagraph"/>
        <w:numPr>
          <w:ilvl w:val="0"/>
          <w:numId w:val="2"/>
        </w:numPr>
        <w:spacing w:after="40" w:before="40"/>
      </w:pPr>
      <w:r>
        <w:rPr>
          <w:rFonts w:ascii="Arial" w:cs="Arial" w:eastAsia="Arial" w:hAnsi="Arial"/>
          <w:color w:val="444444"/>
          <w:sz w:val="22"/>
          <w:szCs w:val="22"/>
        </w:rPr>
        <w:t xml:space="preserve">Duplicate Rows: Zero duplicate records found</w:t>
      </w:r>
    </w:p>
    <w:p>
      <w:pPr>
        <w:pStyle w:val="ListParagraph"/>
        <w:numPr>
          <w:ilvl w:val="0"/>
          <w:numId w:val="2"/>
        </w:numPr>
        <w:spacing w:after="40" w:before="40"/>
      </w:pPr>
      <w:r>
        <w:rPr>
          <w:rFonts w:ascii="Arial" w:cs="Arial" w:eastAsia="Arial" w:hAnsi="Arial"/>
          <w:color w:val="444444"/>
          <w:sz w:val="22"/>
          <w:szCs w:val="22"/>
        </w:rPr>
        <w:t xml:space="preserve">Memory Usage: Approximately 5.7 MB</w:t>
      </w:r>
    </w:p>
    <w:p>
      <w:pPr>
        <w:spacing w:after="100" w:before="80"/>
        <w:jc w:val="both"/>
      </w:pPr>
      <w:r>
        <w:rPr>
          <w:rFonts w:ascii="Arial" w:cs="Arial" w:eastAsia="Arial" w:hAnsi="Arial"/>
          <w:b w:val="false"/>
          <w:bCs w:val="false"/>
          <w:color w:val="444444"/>
          <w:sz w:val="22"/>
          <w:szCs w:val="22"/>
        </w:rPr>
        <w:t xml:space="preserve">The dataset is unusually clean — no imputation was required. The only preprocessing needed was handling undocumented category values and feature engineering.</w:t>
      </w:r>
    </w:p>
    <w:p>
      <w:pPr>
        <w:pStyle w:val="Heading2"/>
        <w:spacing w:after="120" w:before="280"/>
      </w:pPr>
      <w:r>
        <w:rPr>
          <w:rFonts w:ascii="Arial" w:cs="Arial" w:eastAsia="Arial" w:hAnsi="Arial"/>
          <w:b/>
          <w:bCs/>
          <w:color w:val="4472C4"/>
        </w:rPr>
        <w:t xml:space="preserve">3.2 Target Variable Distribution</w:t>
      </w:r>
    </w:p>
    <w:p>
      <w:pPr>
        <w:spacing w:after="100" w:before="80"/>
        <w:jc w:val="both"/>
      </w:pPr>
      <w:r>
        <w:rPr>
          <w:rFonts w:ascii="Arial" w:cs="Arial" w:eastAsia="Arial" w:hAnsi="Arial"/>
          <w:b w:val="false"/>
          <w:bCs w:val="false"/>
          <w:color w:val="444444"/>
          <w:sz w:val="22"/>
          <w:szCs w:val="22"/>
        </w:rPr>
        <w:t xml:space="preserve">A countplot was generated to visualize the distribution of the default variable:</w:t>
      </w:r>
    </w:p>
    <w:p>
      <w:pPr>
        <w:pStyle w:val="ListParagraph"/>
        <w:numPr>
          <w:ilvl w:val="0"/>
          <w:numId w:val="2"/>
        </w:numPr>
        <w:spacing w:after="40" w:before="40"/>
      </w:pPr>
      <w:r>
        <w:rPr>
          <w:rFonts w:ascii="Arial" w:cs="Arial" w:eastAsia="Arial" w:hAnsi="Arial"/>
          <w:color w:val="444444"/>
          <w:sz w:val="22"/>
          <w:szCs w:val="22"/>
        </w:rPr>
        <w:t xml:space="preserve">Non-defaulters (Class 0): 23,364 customers — 77.88%</w:t>
      </w:r>
    </w:p>
    <w:p>
      <w:pPr>
        <w:pStyle w:val="ListParagraph"/>
        <w:numPr>
          <w:ilvl w:val="0"/>
          <w:numId w:val="2"/>
        </w:numPr>
        <w:spacing w:after="40" w:before="40"/>
      </w:pPr>
      <w:r>
        <w:rPr>
          <w:rFonts w:ascii="Arial" w:cs="Arial" w:eastAsia="Arial" w:hAnsi="Arial"/>
          <w:color w:val="444444"/>
          <w:sz w:val="22"/>
          <w:szCs w:val="22"/>
        </w:rPr>
        <w:t xml:space="preserve">Defaulters (Class 1): 6,636 customers — 22.12%</w:t>
      </w:r>
    </w:p>
    <w:p>
      <w:pPr>
        <w:pStyle w:val="ListParagraph"/>
        <w:numPr>
          <w:ilvl w:val="0"/>
          <w:numId w:val="2"/>
        </w:numPr>
        <w:spacing w:after="40" w:before="40"/>
      </w:pPr>
      <w:r>
        <w:rPr>
          <w:rFonts w:ascii="Arial" w:cs="Arial" w:eastAsia="Arial" w:hAnsi="Arial"/>
          <w:color w:val="444444"/>
          <w:sz w:val="22"/>
          <w:szCs w:val="22"/>
        </w:rPr>
        <w:t xml:space="preserve">Imbalance Ratio: approximately 3.5:1 (safe to default)</w:t>
      </w:r>
    </w:p>
    <w:p>
      <w:pPr>
        <w:spacing w:after="100" w:before="80"/>
        <w:jc w:val="both"/>
      </w:pPr>
      <w:r>
        <w:rPr>
          <w:rFonts w:ascii="Arial" w:cs="Arial" w:eastAsia="Arial" w:hAnsi="Arial"/>
          <w:b w:val="false"/>
          <w:bCs w:val="false"/>
          <w:color w:val="444444"/>
          <w:sz w:val="22"/>
          <w:szCs w:val="22"/>
        </w:rPr>
        <w:t xml:space="preserve">This strong class imbalance is a fundamental characteristic of credit default datasets — most customers do pay their bills on time. The imbalance directly impacts model training and evaluation strategy.</w:t>
      </w:r>
    </w:p>
    <w:p>
      <w:pPr>
        <w:pStyle w:val="Heading2"/>
        <w:spacing w:after="120" w:before="280"/>
      </w:pPr>
      <w:r>
        <w:rPr>
          <w:rFonts w:ascii="Arial" w:cs="Arial" w:eastAsia="Arial" w:hAnsi="Arial"/>
          <w:b/>
          <w:bCs/>
          <w:color w:val="4472C4"/>
        </w:rPr>
        <w:t xml:space="preserve">3.3 Demographic Analysis</w:t>
      </w:r>
    </w:p>
    <w:p>
      <w:pPr>
        <w:pStyle w:val="Heading3"/>
        <w:spacing w:after="80" w:before="200"/>
      </w:pPr>
      <w:r>
        <w:rPr>
          <w:rFonts w:ascii="Arial" w:cs="Arial" w:eastAsia="Arial" w:hAnsi="Arial"/>
          <w:b/>
          <w:bCs/>
          <w:color w:val="555555"/>
        </w:rPr>
        <w:t xml:space="preserve">Gender Distribution</w:t>
      </w:r>
    </w:p>
    <w:p>
      <w:pPr>
        <w:spacing w:after="100" w:before="80"/>
        <w:jc w:val="both"/>
      </w:pPr>
      <w:r>
        <w:rPr>
          <w:rFonts w:ascii="Arial" w:cs="Arial" w:eastAsia="Arial" w:hAnsi="Arial"/>
          <w:b w:val="false"/>
          <w:bCs w:val="false"/>
          <w:color w:val="444444"/>
          <w:sz w:val="22"/>
          <w:szCs w:val="22"/>
        </w:rPr>
        <w:t xml:space="preserve">Female customers (SEX=2) make up approximately 60% of the dataset. Male customers show a slightly higher default rate (approximately 24.2%) compared to female customers (approximately 20.8%), suggesting gender carries marginal predictive signal.</w:t>
      </w:r>
    </w:p>
    <w:p>
      <w:pPr>
        <w:pStyle w:val="Heading3"/>
        <w:spacing w:after="80" w:before="200"/>
      </w:pPr>
      <w:r>
        <w:rPr>
          <w:rFonts w:ascii="Arial" w:cs="Arial" w:eastAsia="Arial" w:hAnsi="Arial"/>
          <w:b/>
          <w:bCs/>
          <w:color w:val="555555"/>
        </w:rPr>
        <w:t xml:space="preserve">Education Level</w:t>
      </w:r>
    </w:p>
    <w:p>
      <w:pPr>
        <w:spacing w:after="100" w:before="80"/>
        <w:jc w:val="both"/>
      </w:pPr>
      <w:r>
        <w:rPr>
          <w:rFonts w:ascii="Arial" w:cs="Arial" w:eastAsia="Arial" w:hAnsi="Arial"/>
          <w:b w:val="false"/>
          <w:bCs w:val="false"/>
          <w:color w:val="444444"/>
          <w:sz w:val="22"/>
          <w:szCs w:val="22"/>
        </w:rPr>
        <w:t xml:space="preserve">University graduates (EDUCATION=2) form the largest group. The default rate varies modestly across education levels: Graduate School (20.4%), University (22.8%), High School (25.1%), Others (23.9%). Higher education correlates weakly with lower default probability.</w:t>
      </w:r>
    </w:p>
    <w:p>
      <w:pPr>
        <w:pStyle w:val="Heading3"/>
        <w:spacing w:after="80" w:before="200"/>
      </w:pPr>
      <w:r>
        <w:rPr>
          <w:rFonts w:ascii="Arial" w:cs="Arial" w:eastAsia="Arial" w:hAnsi="Arial"/>
          <w:b/>
          <w:bCs/>
          <w:color w:val="555555"/>
        </w:rPr>
        <w:t xml:space="preserve">Marital Status</w:t>
      </w:r>
    </w:p>
    <w:p>
      <w:pPr>
        <w:spacing w:after="100" w:before="80"/>
        <w:jc w:val="both"/>
      </w:pPr>
      <w:r>
        <w:rPr>
          <w:rFonts w:ascii="Arial" w:cs="Arial" w:eastAsia="Arial" w:hAnsi="Arial"/>
          <w:b w:val="false"/>
          <w:bCs w:val="false"/>
          <w:color w:val="444444"/>
          <w:sz w:val="22"/>
          <w:szCs w:val="22"/>
        </w:rPr>
        <w:t xml:space="preserve">Married customers (MARRIAGE=1) form the largest group. Single customers show a marginally higher default propensity. Customers categorized as 'Others' (MARRIAGE=3) include MARRIAGE=0 values that were recoded from undocumented categories.</w:t>
      </w:r>
    </w:p>
    <w:p>
      <w:pPr>
        <w:pStyle w:val="Heading3"/>
        <w:spacing w:after="80" w:before="200"/>
      </w:pPr>
      <w:r>
        <w:rPr>
          <w:rFonts w:ascii="Arial" w:cs="Arial" w:eastAsia="Arial" w:hAnsi="Arial"/>
          <w:b/>
          <w:bCs/>
          <w:color w:val="555555"/>
        </w:rPr>
        <w:t xml:space="preserve">Age Distribution</w:t>
      </w:r>
    </w:p>
    <w:p>
      <w:pPr>
        <w:spacing w:after="100" w:before="80"/>
        <w:jc w:val="both"/>
      </w:pPr>
      <w:r>
        <w:rPr>
          <w:rFonts w:ascii="Arial" w:cs="Arial" w:eastAsia="Arial" w:hAnsi="Arial"/>
          <w:b w:val="false"/>
          <w:bCs w:val="false"/>
          <w:color w:val="444444"/>
          <w:sz w:val="22"/>
          <w:szCs w:val="22"/>
        </w:rPr>
        <w:t xml:space="preserve">Customer ages range from 21 to 79 years, with a mean of approximately 35 years. The distribution is right-skewed. Younger customers (25-35) show a slightly higher default rate. Age alone is a weak predictor but contributes in combination with other features.</w:t>
      </w:r>
    </w:p>
    <w:p>
      <w:pPr>
        <w:pStyle w:val="Heading2"/>
        <w:spacing w:after="120" w:before="280"/>
      </w:pPr>
      <w:r>
        <w:rPr>
          <w:rFonts w:ascii="Arial" w:cs="Arial" w:eastAsia="Arial" w:hAnsi="Arial"/>
          <w:b/>
          <w:bCs/>
          <w:color w:val="4472C4"/>
        </w:rPr>
        <w:t xml:space="preserve">3.4 Credit Limit Analysis</w:t>
      </w:r>
    </w:p>
    <w:p>
      <w:pPr>
        <w:spacing w:after="100" w:before="80"/>
        <w:jc w:val="both"/>
      </w:pPr>
      <w:r>
        <w:rPr>
          <w:rFonts w:ascii="Arial" w:cs="Arial" w:eastAsia="Arial" w:hAnsi="Arial"/>
          <w:b w:val="false"/>
          <w:bCs w:val="false"/>
          <w:color w:val="444444"/>
          <w:sz w:val="22"/>
          <w:szCs w:val="22"/>
        </w:rPr>
        <w:t xml:space="preserve">Credit limits (LIMIT_BAL) range from NT$ 10,000 to NT$ 1,000,000, with a mean of approximately NT$ 167,484. The distribution is right-skewed (skewness ~0.99). Non-defaulters have significantly higher average credit limits than defaulters, suggesting that the bank's existing credit assessment already captures some default risk. The boxplot analysis confirms that defaulters are concentrated in lower credit limit brackets.</w:t>
      </w:r>
    </w:p>
    <w:p>
      <w:pPr>
        <w:pStyle w:val="Heading2"/>
        <w:spacing w:after="120" w:before="280"/>
      </w:pPr>
      <w:r>
        <w:rPr>
          <w:rFonts w:ascii="Arial" w:cs="Arial" w:eastAsia="Arial" w:hAnsi="Arial"/>
          <w:b/>
          <w:bCs/>
          <w:color w:val="4472C4"/>
        </w:rPr>
        <w:t xml:space="preserve">3.5 Repayment Status Analysis</w:t>
      </w:r>
    </w:p>
    <w:p>
      <w:pPr>
        <w:spacing w:after="100" w:before="80"/>
        <w:jc w:val="both"/>
      </w:pPr>
      <w:r>
        <w:rPr>
          <w:rFonts w:ascii="Arial" w:cs="Arial" w:eastAsia="Arial" w:hAnsi="Arial"/>
          <w:b w:val="false"/>
          <w:bCs w:val="false"/>
          <w:color w:val="444444"/>
          <w:sz w:val="22"/>
          <w:szCs w:val="22"/>
        </w:rPr>
        <w:t xml:space="preserve">The PAY_0 variable (most recent repayment status — September 2005) showed the highest correlation with the target variable (Pearson r = +0.324). This is the single most important predictor in the dataset. Customers with PAY_0 &gt;= 2 (two or more months of payment delay) had dramatically higher default rates. The cascade effect was also observed — customers who delayed in recent months were more likely to have delayed in earlier months.</w:t>
      </w:r>
    </w:p>
    <w:p>
      <w:pPr>
        <w:pStyle w:val="Heading2"/>
        <w:spacing w:after="120" w:before="280"/>
      </w:pPr>
      <w:r>
        <w:rPr>
          <w:rFonts w:ascii="Arial" w:cs="Arial" w:eastAsia="Arial" w:hAnsi="Arial"/>
          <w:b/>
          <w:bCs/>
          <w:color w:val="4472C4"/>
        </w:rPr>
        <w:t xml:space="preserve">3.6 Bill and Payment Trend Analysis</w:t>
      </w:r>
    </w:p>
    <w:p>
      <w:pPr>
        <w:spacing w:after="100" w:before="80"/>
        <w:jc w:val="both"/>
      </w:pPr>
      <w:r>
        <w:rPr>
          <w:rFonts w:ascii="Arial" w:cs="Arial" w:eastAsia="Arial" w:hAnsi="Arial"/>
          <w:b w:val="false"/>
          <w:bCs w:val="false"/>
          <w:color w:val="444444"/>
          <w:sz w:val="22"/>
          <w:szCs w:val="22"/>
        </w:rPr>
        <w:t xml:space="preserve">Six-month trend analysis of bill statements and payment amounts revealed a clear behavioural divergence between defaulters and non-defaulters:</w:t>
      </w:r>
    </w:p>
    <w:p>
      <w:pPr>
        <w:pStyle w:val="ListParagraph"/>
        <w:numPr>
          <w:ilvl w:val="0"/>
          <w:numId w:val="2"/>
        </w:numPr>
        <w:spacing w:after="40" w:before="40"/>
      </w:pPr>
      <w:r>
        <w:rPr>
          <w:rFonts w:ascii="Arial" w:cs="Arial" w:eastAsia="Arial" w:hAnsi="Arial"/>
          <w:color w:val="444444"/>
          <w:sz w:val="22"/>
          <w:szCs w:val="22"/>
        </w:rPr>
        <w:t xml:space="preserve">Non-defaulters maintained consistently lower average bill amounts (NT$ ~35,000-40,000) and higher average payment amounts (NT$ ~5,000)</w:t>
      </w:r>
    </w:p>
    <w:p>
      <w:pPr>
        <w:pStyle w:val="ListParagraph"/>
        <w:numPr>
          <w:ilvl w:val="0"/>
          <w:numId w:val="2"/>
        </w:numPr>
        <w:spacing w:after="40" w:before="40"/>
      </w:pPr>
      <w:r>
        <w:rPr>
          <w:rFonts w:ascii="Arial" w:cs="Arial" w:eastAsia="Arial" w:hAnsi="Arial"/>
          <w:color w:val="444444"/>
          <w:sz w:val="22"/>
          <w:szCs w:val="22"/>
        </w:rPr>
        <w:t xml:space="preserve">Defaulters had higher average bill amounts (NT$ ~45,000-52,000) and consistently lower payment amounts (NT$ ~1,500-1,800)</w:t>
      </w:r>
    </w:p>
    <w:p>
      <w:pPr>
        <w:pStyle w:val="ListParagraph"/>
        <w:numPr>
          <w:ilvl w:val="0"/>
          <w:numId w:val="2"/>
        </w:numPr>
        <w:spacing w:after="40" w:before="40"/>
      </w:pPr>
      <w:r>
        <w:rPr>
          <w:rFonts w:ascii="Arial" w:cs="Arial" w:eastAsia="Arial" w:hAnsi="Arial"/>
          <w:color w:val="444444"/>
          <w:sz w:val="22"/>
          <w:szCs w:val="22"/>
        </w:rPr>
        <w:t xml:space="preserve">The gap between bill amounts and payment amounts (credit utilization pressure) was the most visually striking trend — defaulters were making payments far below their outstanding balances</w:t>
      </w:r>
    </w:p>
    <w:p>
      <w:pPr>
        <w:pStyle w:val="Heading2"/>
        <w:spacing w:after="120" w:before="280"/>
      </w:pPr>
      <w:r>
        <w:rPr>
          <w:rFonts w:ascii="Arial" w:cs="Arial" w:eastAsia="Arial" w:hAnsi="Arial"/>
          <w:b/>
          <w:bCs/>
          <w:color w:val="4472C4"/>
        </w:rPr>
        <w:t xml:space="preserve">3.7 Skewness Analysis</w:t>
      </w:r>
    </w:p>
    <w:p>
      <w:pPr>
        <w:spacing w:after="100" w:before="80"/>
        <w:jc w:val="both"/>
      </w:pPr>
      <w:r>
        <w:rPr>
          <w:rFonts w:ascii="Arial" w:cs="Arial" w:eastAsia="Arial" w:hAnsi="Arial"/>
          <w:b w:val="false"/>
          <w:bCs w:val="false"/>
          <w:color w:val="444444"/>
          <w:sz w:val="22"/>
          <w:szCs w:val="22"/>
        </w:rPr>
        <w:t xml:space="preserve">Skewness was computed for all numeric features. The BILL_AMT and PAY_AMT columns showed severe right skewness: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Group</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Skewness Range</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Taken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BILL_AMT1–6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2.66 to 3.14</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Log1p transformation applied</w:t>
            </w:r>
          </w:p>
        </w:tc>
      </w:tr>
      <w:tr>
        <w:tc>
          <w:tcPr>
            <w:tcW w:type="dxa" w:w="26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PAY_AMT1–6</w:t>
            </w:r>
          </w:p>
        </w:tc>
        <w:tc>
          <w:tcPr>
            <w:tcW w:type="dxa" w:w="2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5.0 to 9.0+</w:t>
            </w:r>
          </w:p>
        </w:tc>
        <w:tc>
          <w:tcPr>
            <w:tcW w:type="dxa" w:w="42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Log1p transformation applied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LIMIT_BAL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0.99</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Log1p transformation applied</w:t>
            </w:r>
          </w:p>
        </w:tc>
      </w:tr>
      <w:tr>
        <w:tc>
          <w:tcPr>
            <w:tcW w:type="dxa" w:w="26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AGE</w:t>
            </w:r>
          </w:p>
        </w:tc>
        <w:tc>
          <w:tcPr>
            <w:tcW w:type="dxa" w:w="2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0.73</w:t>
            </w:r>
          </w:p>
        </w:tc>
        <w:tc>
          <w:tcPr>
            <w:tcW w:type="dxa" w:w="42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No transformation (acceptable)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PAY_0–PAY_6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0.73 to 1.01</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Kept as ordinal — categorical encoding preferred</w:t>
            </w:r>
          </w:p>
        </w:tc>
      </w:tr>
    </w:tbl>
    <w:p/>
    <w:p>
      <w:pPr>
        <w:spacing w:after="100" w:before="80"/>
        <w:jc w:val="both"/>
      </w:pPr>
      <w:r>
        <w:rPr>
          <w:rFonts w:ascii="Arial" w:cs="Arial" w:eastAsia="Arial" w:hAnsi="Arial"/>
          <w:b w:val="false"/>
          <w:bCs w:val="false"/>
          <w:color w:val="444444"/>
          <w:sz w:val="22"/>
          <w:szCs w:val="22"/>
        </w:rPr>
        <w:t xml:space="preserve">Note: Some BILL_AMT values are negative (credit refunds), which caused divide-by-zero warnings during log transformation. These were handled carefully in the pipeline.</w:t>
      </w:r>
    </w:p>
    <w:p>
      <w:r>
        <w:br/>
      </w:r>
    </w:p>
    <w:p>
      <w:pPr>
        <w:pStyle w:val="Heading1"/>
        <w:pBdr>
          <w:bottom w:val="single" w:color="2E75B6" w:sz="6" w:space="1"/>
        </w:pBdr>
        <w:spacing w:after="160" w:before="400"/>
      </w:pPr>
      <w:r>
        <w:rPr>
          <w:rFonts w:ascii="Arial" w:cs="Arial" w:eastAsia="Arial" w:hAnsi="Arial"/>
          <w:b/>
          <w:bCs/>
          <w:color w:val="1F3864"/>
        </w:rPr>
        <w:t xml:space="preserve">4. Data Preprocessing Pipeline</w:t>
      </w:r>
    </w:p>
    <w:p>
      <w:pPr>
        <w:pStyle w:val="Heading2"/>
        <w:spacing w:after="120" w:before="280"/>
      </w:pPr>
      <w:r>
        <w:rPr>
          <w:rFonts w:ascii="Arial" w:cs="Arial" w:eastAsia="Arial" w:hAnsi="Arial"/>
          <w:b/>
          <w:bCs/>
          <w:color w:val="4472C4"/>
        </w:rPr>
        <w:t xml:space="preserve">4.1 Step 1 — Drop Identifier Column</w:t>
      </w:r>
    </w:p>
    <w:p>
      <w:pPr>
        <w:spacing w:after="100" w:before="80"/>
        <w:jc w:val="both"/>
      </w:pPr>
      <w:r>
        <w:rPr>
          <w:rFonts w:ascii="Arial" w:cs="Arial" w:eastAsia="Arial" w:hAnsi="Arial"/>
          <w:b w:val="false"/>
          <w:bCs w:val="false"/>
          <w:color w:val="444444"/>
          <w:sz w:val="22"/>
          <w:szCs w:val="22"/>
        </w:rPr>
        <w:t xml:space="preserve">The ID column was dropped as it is a non-informative primary key that provides no predictive value and would cause data leakage if retained.</w:t>
      </w:r>
    </w:p>
    <w:p>
      <w:pPr>
        <w:spacing w:after="100" w:before="80"/>
        <w:jc w:val="both"/>
      </w:pPr>
      <w:r>
        <w:rPr>
          <w:rFonts w:ascii="Arial" w:cs="Arial" w:eastAsia="Arial" w:hAnsi="Arial"/>
          <w:b w:val="false"/>
          <w:bCs w:val="false"/>
          <w:color w:val="444444"/>
          <w:sz w:val="22"/>
          <w:szCs w:val="22"/>
        </w:rPr>
        <w:t xml:space="preserve">Code: df.drop('ID', axis=1, inplace=True)</w:t>
      </w:r>
    </w:p>
    <w:p>
      <w:pPr>
        <w:pStyle w:val="Heading2"/>
        <w:spacing w:after="120" w:before="280"/>
      </w:pPr>
      <w:r>
        <w:rPr>
          <w:rFonts w:ascii="Arial" w:cs="Arial" w:eastAsia="Arial" w:hAnsi="Arial"/>
          <w:b/>
          <w:bCs/>
          <w:color w:val="4472C4"/>
        </w:rPr>
        <w:t xml:space="preserve">4.2 Step 2 — Rename Target Column</w:t>
      </w:r>
    </w:p>
    <w:p>
      <w:pPr>
        <w:spacing w:after="100" w:before="80"/>
        <w:jc w:val="both"/>
      </w:pPr>
      <w:r>
        <w:rPr>
          <w:rFonts w:ascii="Arial" w:cs="Arial" w:eastAsia="Arial" w:hAnsi="Arial"/>
          <w:b w:val="false"/>
          <w:bCs w:val="false"/>
          <w:color w:val="444444"/>
          <w:sz w:val="22"/>
          <w:szCs w:val="22"/>
        </w:rPr>
        <w:t xml:space="preserve">The target column was renamed from 'default.payment.next.month' to 'Default' for cleaner code readability throughout the project.</w:t>
      </w:r>
    </w:p>
    <w:p>
      <w:pPr>
        <w:pStyle w:val="Heading2"/>
        <w:spacing w:after="120" w:before="280"/>
      </w:pPr>
      <w:r>
        <w:rPr>
          <w:rFonts w:ascii="Arial" w:cs="Arial" w:eastAsia="Arial" w:hAnsi="Arial"/>
          <w:b/>
          <w:bCs/>
          <w:color w:val="4472C4"/>
        </w:rPr>
        <w:t xml:space="preserve">4.3 Step 3 — Handle Anomalous Category Values</w:t>
      </w:r>
    </w:p>
    <w:p>
      <w:pPr>
        <w:spacing w:after="100" w:before="80"/>
        <w:jc w:val="both"/>
      </w:pPr>
      <w:r>
        <w:rPr>
          <w:rFonts w:ascii="Arial" w:cs="Arial" w:eastAsia="Arial" w:hAnsi="Arial"/>
          <w:b w:val="false"/>
          <w:bCs w:val="false"/>
          <w:color w:val="444444"/>
          <w:sz w:val="22"/>
          <w:szCs w:val="22"/>
        </w:rPr>
        <w:t xml:space="preserve">The EDUCATION and MARRIAGE features contained undocumented category values not described in the original dataset documentation:</w:t>
      </w:r>
    </w:p>
    <w:p>
      <w:pPr>
        <w:pStyle w:val="ListParagraph"/>
        <w:numPr>
          <w:ilvl w:val="0"/>
          <w:numId w:val="2"/>
        </w:numPr>
        <w:spacing w:after="40" w:before="40"/>
      </w:pPr>
      <w:r>
        <w:rPr>
          <w:rFonts w:ascii="Arial" w:cs="Arial" w:eastAsia="Arial" w:hAnsi="Arial"/>
          <w:color w:val="444444"/>
          <w:sz w:val="22"/>
          <w:szCs w:val="22"/>
        </w:rPr>
        <w:t xml:space="preserve">EDUCATION values {0, 5, 6}: These values do not correspond to any documented category. They were recoded to category 4 (Others) as the most appropriate catch-all group</w:t>
      </w:r>
    </w:p>
    <w:p>
      <w:pPr>
        <w:pStyle w:val="ListParagraph"/>
        <w:numPr>
          <w:ilvl w:val="0"/>
          <w:numId w:val="2"/>
        </w:numPr>
        <w:spacing w:after="40" w:before="40"/>
      </w:pPr>
      <w:r>
        <w:rPr>
          <w:rFonts w:ascii="Arial" w:cs="Arial" w:eastAsia="Arial" w:hAnsi="Arial"/>
          <w:color w:val="444444"/>
          <w:sz w:val="22"/>
          <w:szCs w:val="22"/>
        </w:rPr>
        <w:t xml:space="preserve">MARRIAGE value {0}: This undocumented value was recoded to category 3 (Others)</w:t>
      </w:r>
    </w:p>
    <w:p>
      <w:pPr>
        <w:spacing w:after="100" w:before="80"/>
        <w:jc w:val="both"/>
      </w:pPr>
      <w:r>
        <w:rPr>
          <w:rFonts w:ascii="Arial" w:cs="Arial" w:eastAsia="Arial" w:hAnsi="Arial"/>
          <w:b w:val="false"/>
          <w:bCs w:val="false"/>
          <w:color w:val="444444"/>
          <w:sz w:val="22"/>
          <w:szCs w:val="22"/>
        </w:rPr>
        <w:t xml:space="preserve">This correction affected a small subset of records but is important for ensuring valid categorical representations.</w:t>
      </w:r>
    </w:p>
    <w:p>
      <w:pPr>
        <w:pStyle w:val="Heading2"/>
        <w:spacing w:after="120" w:before="280"/>
      </w:pPr>
      <w:r>
        <w:rPr>
          <w:rFonts w:ascii="Arial" w:cs="Arial" w:eastAsia="Arial" w:hAnsi="Arial"/>
          <w:b/>
          <w:bCs/>
          <w:color w:val="4472C4"/>
        </w:rPr>
        <w:t xml:space="preserve">4.4 Step 4 — Feature Engineering</w:t>
      </w:r>
    </w:p>
    <w:p>
      <w:pPr>
        <w:spacing w:after="100" w:before="80"/>
        <w:jc w:val="both"/>
      </w:pPr>
      <w:r>
        <w:rPr>
          <w:rFonts w:ascii="Arial" w:cs="Arial" w:eastAsia="Arial" w:hAnsi="Arial"/>
          <w:b w:val="false"/>
          <w:bCs w:val="false"/>
          <w:color w:val="444444"/>
          <w:sz w:val="22"/>
          <w:szCs w:val="22"/>
        </w:rPr>
        <w:t xml:space="preserve">Two aggregate features were engineered to capture six-month cumulative behaviour:</w:t>
      </w:r>
    </w:p>
    <w:p>
      <w:pPr>
        <w:pStyle w:val="ListParagraph"/>
        <w:numPr>
          <w:ilvl w:val="0"/>
          <w:numId w:val="2"/>
        </w:numPr>
        <w:spacing w:after="40" w:before="40"/>
      </w:pPr>
      <w:r>
        <w:rPr>
          <w:rFonts w:ascii="Arial" w:cs="Arial" w:eastAsia="Arial" w:hAnsi="Arial"/>
          <w:color w:val="444444"/>
          <w:sz w:val="22"/>
          <w:szCs w:val="22"/>
        </w:rPr>
        <w:t xml:space="preserve">BILL_TOTAL = sum of BILL_AMT1 + BILL_AMT2 + BILL_AMT3 — captures total recent outstanding balance</w:t>
      </w:r>
    </w:p>
    <w:p>
      <w:pPr>
        <w:pStyle w:val="ListParagraph"/>
        <w:numPr>
          <w:ilvl w:val="0"/>
          <w:numId w:val="2"/>
        </w:numPr>
        <w:spacing w:after="40" w:before="40"/>
      </w:pPr>
      <w:r>
        <w:rPr>
          <w:rFonts w:ascii="Arial" w:cs="Arial" w:eastAsia="Arial" w:hAnsi="Arial"/>
          <w:color w:val="444444"/>
          <w:sz w:val="22"/>
          <w:szCs w:val="22"/>
        </w:rPr>
        <w:t xml:space="preserve">PAY_TOTAL = sum of PAY_AMT1 + PAY_AMT2 + PAY_AMT3 — captures total recent payment capability</w:t>
      </w:r>
    </w:p>
    <w:p>
      <w:pPr>
        <w:spacing w:after="100" w:before="80"/>
        <w:jc w:val="both"/>
      </w:pPr>
      <w:r>
        <w:rPr>
          <w:rFonts w:ascii="Arial" w:cs="Arial" w:eastAsia="Arial" w:hAnsi="Arial"/>
          <w:b w:val="false"/>
          <w:bCs w:val="false"/>
          <w:color w:val="444444"/>
          <w:sz w:val="22"/>
          <w:szCs w:val="22"/>
        </w:rPr>
        <w:t xml:space="preserve">These engineered features provide the model with a compressed view of a customer's recent financial load and repayment behaviour.</w:t>
      </w:r>
    </w:p>
    <w:p>
      <w:pPr>
        <w:pStyle w:val="Heading2"/>
        <w:spacing w:after="120" w:before="280"/>
      </w:pPr>
      <w:r>
        <w:rPr>
          <w:rFonts w:ascii="Arial" w:cs="Arial" w:eastAsia="Arial" w:hAnsi="Arial"/>
          <w:b/>
          <w:bCs/>
          <w:color w:val="4472C4"/>
        </w:rPr>
        <w:t xml:space="preserve">4.5 Step 5 — Log1p Transformation</w:t>
      </w:r>
    </w:p>
    <w:p>
      <w:pPr>
        <w:spacing w:after="100" w:before="80"/>
        <w:jc w:val="both"/>
      </w:pPr>
      <w:r>
        <w:rPr>
          <w:rFonts w:ascii="Arial" w:cs="Arial" w:eastAsia="Arial" w:hAnsi="Arial"/>
          <w:b w:val="false"/>
          <w:bCs w:val="false"/>
          <w:color w:val="444444"/>
          <w:sz w:val="22"/>
          <w:szCs w:val="22"/>
        </w:rPr>
        <w:t xml:space="preserve">Log1p (i.e., log(1+x)) transformation was applied to bill statement and payment amount columns to reduce right skewness. This transformation is preferred over standard log because it handles zero values gracefully. After transformation, skewness was substantially reduced for PAY_AMT columns (from 5.0+ to approximately -1.0 to -1.3).</w:t>
      </w:r>
    </w:p>
    <w:p>
      <w:pPr>
        <w:pStyle w:val="Heading2"/>
        <w:spacing w:after="120" w:before="280"/>
      </w:pPr>
      <w:r>
        <w:rPr>
          <w:rFonts w:ascii="Arial" w:cs="Arial" w:eastAsia="Arial" w:hAnsi="Arial"/>
          <w:b/>
          <w:bCs/>
          <w:color w:val="4472C4"/>
        </w:rPr>
        <w:t xml:space="preserve">4.6 Step 6 — Train-Test Split</w:t>
      </w:r>
    </w:p>
    <w:p>
      <w:pPr>
        <w:spacing w:after="100" w:before="80"/>
        <w:jc w:val="both"/>
      </w:pPr>
      <w:r>
        <w:rPr>
          <w:rFonts w:ascii="Arial" w:cs="Arial" w:eastAsia="Arial" w:hAnsi="Arial"/>
          <w:b w:val="false"/>
          <w:bCs w:val="false"/>
          <w:color w:val="444444"/>
          <w:sz w:val="22"/>
          <w:szCs w:val="22"/>
        </w:rPr>
        <w:t xml:space="preserve">The dataset was split into training (80%) and test (20%) sets:</w:t>
      </w:r>
    </w:p>
    <w:p>
      <w:pPr>
        <w:pStyle w:val="ListParagraph"/>
        <w:numPr>
          <w:ilvl w:val="0"/>
          <w:numId w:val="2"/>
        </w:numPr>
        <w:spacing w:after="40" w:before="40"/>
      </w:pPr>
      <w:r>
        <w:rPr>
          <w:rFonts w:ascii="Arial" w:cs="Arial" w:eastAsia="Arial" w:hAnsi="Arial"/>
          <w:color w:val="444444"/>
          <w:sz w:val="22"/>
          <w:szCs w:val="22"/>
        </w:rPr>
        <w:t xml:space="preserve">Training set: 24,000 samples</w:t>
      </w:r>
    </w:p>
    <w:p>
      <w:pPr>
        <w:pStyle w:val="ListParagraph"/>
        <w:numPr>
          <w:ilvl w:val="0"/>
          <w:numId w:val="2"/>
        </w:numPr>
        <w:spacing w:after="40" w:before="40"/>
      </w:pPr>
      <w:r>
        <w:rPr>
          <w:rFonts w:ascii="Arial" w:cs="Arial" w:eastAsia="Arial" w:hAnsi="Arial"/>
          <w:color w:val="444444"/>
          <w:sz w:val="22"/>
          <w:szCs w:val="22"/>
        </w:rPr>
        <w:t xml:space="preserve">Test set: 6,000 samples</w:t>
      </w:r>
    </w:p>
    <w:p>
      <w:pPr>
        <w:pStyle w:val="ListParagraph"/>
        <w:numPr>
          <w:ilvl w:val="0"/>
          <w:numId w:val="2"/>
        </w:numPr>
        <w:spacing w:after="40" w:before="40"/>
      </w:pPr>
      <w:r>
        <w:rPr>
          <w:rFonts w:ascii="Arial" w:cs="Arial" w:eastAsia="Arial" w:hAnsi="Arial"/>
          <w:color w:val="444444"/>
          <w:sz w:val="22"/>
          <w:szCs w:val="22"/>
        </w:rPr>
        <w:t xml:space="preserve">Random state: 42 (for reproducibility)</w:t>
      </w:r>
    </w:p>
    <w:p>
      <w:pPr>
        <w:spacing w:after="100" w:before="80"/>
        <w:jc w:val="both"/>
      </w:pPr>
      <w:r>
        <w:rPr>
          <w:rFonts w:ascii="Arial" w:cs="Arial" w:eastAsia="Arial" w:hAnsi="Arial"/>
          <w:b w:val="false"/>
          <w:bCs w:val="false"/>
          <w:color w:val="444444"/>
          <w:sz w:val="22"/>
          <w:szCs w:val="22"/>
        </w:rPr>
        <w:t xml:space="preserve">A stratified split was used in the improved pipeline to ensure both sets maintain the same 77.88%/22.12% class distribution.</w:t>
      </w:r>
    </w:p>
    <w:p>
      <w:pPr>
        <w:pStyle w:val="Heading2"/>
        <w:spacing w:after="120" w:before="280"/>
      </w:pPr>
      <w:r>
        <w:rPr>
          <w:rFonts w:ascii="Arial" w:cs="Arial" w:eastAsia="Arial" w:hAnsi="Arial"/>
          <w:b/>
          <w:bCs/>
          <w:color w:val="4472C4"/>
        </w:rPr>
        <w:t xml:space="preserve">4.7 Step 7 — Feature Scaling</w:t>
      </w:r>
    </w:p>
    <w:p>
      <w:pPr>
        <w:spacing w:after="100" w:before="80"/>
        <w:jc w:val="both"/>
      </w:pPr>
      <w:r>
        <w:rPr>
          <w:rFonts w:ascii="Arial" w:cs="Arial" w:eastAsia="Arial" w:hAnsi="Arial"/>
          <w:b w:val="false"/>
          <w:bCs w:val="false"/>
          <w:color w:val="444444"/>
          <w:sz w:val="22"/>
          <w:szCs w:val="22"/>
        </w:rPr>
        <w:t xml:space="preserve">Two scaling approaches were explored:</w:t>
      </w:r>
    </w:p>
    <w:p>
      <w:pPr>
        <w:pStyle w:val="ListParagraph"/>
        <w:numPr>
          <w:ilvl w:val="0"/>
          <w:numId w:val="2"/>
        </w:numPr>
        <w:spacing w:after="40" w:before="40"/>
      </w:pPr>
      <w:r>
        <w:rPr>
          <w:rFonts w:ascii="Arial" w:cs="Arial" w:eastAsia="Arial" w:hAnsi="Arial"/>
          <w:color w:val="444444"/>
          <w:sz w:val="22"/>
          <w:szCs w:val="22"/>
        </w:rPr>
        <w:t xml:space="preserve">StandardScaler: Transforms features to zero mean and unit variance. Used as the primary scaler for distance-based models (SVM, KNN) and neural networks</w:t>
      </w:r>
    </w:p>
    <w:p>
      <w:pPr>
        <w:pStyle w:val="ListParagraph"/>
        <w:numPr>
          <w:ilvl w:val="0"/>
          <w:numId w:val="2"/>
        </w:numPr>
        <w:spacing w:after="40" w:before="40"/>
      </w:pPr>
      <w:r>
        <w:rPr>
          <w:rFonts w:ascii="Arial" w:cs="Arial" w:eastAsia="Arial" w:hAnsi="Arial"/>
          <w:color w:val="444444"/>
          <w:sz w:val="22"/>
          <w:szCs w:val="22"/>
        </w:rPr>
        <w:t xml:space="preserve">MinMaxScaler: Scales features to the [0, 1] range. Evaluated as an alternative for the ANN pipeline</w:t>
      </w:r>
    </w:p>
    <w:p>
      <w:pPr>
        <w:spacing w:after="100" w:before="80"/>
        <w:jc w:val="both"/>
      </w:pPr>
      <w:r>
        <w:rPr>
          <w:rFonts w:ascii="Arial" w:cs="Arial" w:eastAsia="Arial" w:hAnsi="Arial"/>
          <w:b w:val="false"/>
          <w:bCs w:val="false"/>
          <w:color w:val="444444"/>
          <w:sz w:val="22"/>
          <w:szCs w:val="22"/>
        </w:rPr>
        <w:t xml:space="preserve">StandardScaler was selected as the final scaling method for consistency across all models. Critically, the scaler was fit exclusively on the training data and then applied to transform the test data, preventing data leakage.</w:t>
      </w:r>
    </w:p>
    <w:p>
      <w:pPr>
        <w:pStyle w:val="Heading2"/>
        <w:spacing w:after="120" w:before="280"/>
      </w:pPr>
      <w:r>
        <w:rPr>
          <w:rFonts w:ascii="Arial" w:cs="Arial" w:eastAsia="Arial" w:hAnsi="Arial"/>
          <w:b/>
          <w:bCs/>
          <w:color w:val="4472C4"/>
        </w:rPr>
        <w:t xml:space="preserve">4.8 Step 8 — Hyperparameter Tuning</w:t>
      </w:r>
    </w:p>
    <w:p>
      <w:pPr>
        <w:spacing w:after="100" w:before="80"/>
        <w:jc w:val="both"/>
      </w:pPr>
      <w:r>
        <w:rPr>
          <w:rFonts w:ascii="Arial" w:cs="Arial" w:eastAsia="Arial" w:hAnsi="Arial"/>
          <w:b w:val="false"/>
          <w:bCs w:val="false"/>
          <w:color w:val="444444"/>
          <w:sz w:val="22"/>
          <w:szCs w:val="22"/>
        </w:rPr>
        <w:t xml:space="preserve">GridSearchCV with 2-fold and 5-fold cross-validation was applied to optimize key model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Parameters Searched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Best Parameters Found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SVM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C=[1,10], kernel=['rbf']</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C=1, kernel='rbf'</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Random Forest</w:t>
            </w:r>
          </w:p>
        </w:tc>
        <w:tc>
          <w:tcPr>
            <w:tcW w:type="dxa" w:w="35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n_estimators=[100,200], max_depth=[10,None]</w:t>
            </w:r>
          </w:p>
        </w:tc>
        <w:tc>
          <w:tcPr>
            <w:tcW w:type="dxa" w:w="3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n_estimators=200, max_depth=10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XGBoost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n_estimators=300, lr=0.05, max_depth=4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Tuned manually — accuracy 0.8215</w:t>
            </w:r>
          </w:p>
        </w:tc>
      </w:tr>
    </w:tbl>
    <w:p>
      <w:r>
        <w:br/>
      </w:r>
    </w:p>
    <w:p>
      <w:pPr>
        <w:pStyle w:val="Heading1"/>
        <w:pBdr>
          <w:bottom w:val="single" w:color="2E75B6" w:sz="6" w:space="1"/>
        </w:pBdr>
        <w:spacing w:after="160" w:before="400"/>
      </w:pPr>
      <w:r>
        <w:rPr>
          <w:rFonts w:ascii="Arial" w:cs="Arial" w:eastAsia="Arial" w:hAnsi="Arial"/>
          <w:b/>
          <w:bCs/>
          <w:color w:val="1F3864"/>
        </w:rPr>
        <w:t xml:space="preserve">5. Model Building</w:t>
      </w:r>
    </w:p>
    <w:p>
      <w:pPr>
        <w:pStyle w:val="Heading2"/>
        <w:spacing w:after="120" w:before="280"/>
      </w:pPr>
      <w:r>
        <w:rPr>
          <w:rFonts w:ascii="Arial" w:cs="Arial" w:eastAsia="Arial" w:hAnsi="Arial"/>
          <w:b/>
          <w:bCs/>
          <w:color w:val="4472C4"/>
        </w:rPr>
        <w:t xml:space="preserve">5.1 Models Implemented</w:t>
      </w:r>
    </w:p>
    <w:p>
      <w:pPr>
        <w:spacing w:after="100" w:before="80"/>
        <w:jc w:val="both"/>
      </w:pPr>
      <w:r>
        <w:rPr>
          <w:rFonts w:ascii="Arial" w:cs="Arial" w:eastAsia="Arial" w:hAnsi="Arial"/>
          <w:b w:val="false"/>
          <w:bCs w:val="false"/>
          <w:color w:val="444444"/>
          <w:sz w:val="22"/>
          <w:szCs w:val="22"/>
        </w:rPr>
        <w:t xml:space="preserve">Eight classification algorithms were implemented and evaluated, ranging from simple linear models to complex ensemble methods and deep learning:</w:t>
      </w:r>
    </w:p>
    <w:p>
      <w:pPr>
        <w:pStyle w:val="Heading3"/>
        <w:spacing w:after="80" w:before="200"/>
      </w:pPr>
      <w:r>
        <w:rPr>
          <w:rFonts w:ascii="Arial" w:cs="Arial" w:eastAsia="Arial" w:hAnsi="Arial"/>
          <w:b/>
          <w:bCs/>
          <w:color w:val="555555"/>
        </w:rPr>
        <w:t xml:space="preserve">5.1.1 Logistic Regression</w:t>
      </w:r>
    </w:p>
    <w:p>
      <w:pPr>
        <w:spacing w:after="100" w:before="80"/>
        <w:jc w:val="both"/>
      </w:pPr>
      <w:r>
        <w:rPr>
          <w:rFonts w:ascii="Arial" w:cs="Arial" w:eastAsia="Arial" w:hAnsi="Arial"/>
          <w:b w:val="false"/>
          <w:bCs w:val="false"/>
          <w:color w:val="444444"/>
          <w:sz w:val="22"/>
          <w:szCs w:val="22"/>
        </w:rPr>
        <w:t xml:space="preserve">A linear classifier that models the probability of default using a logistic (sigmoid) function. It serves as an interpretable baseline and performs well when the decision boundary is approximately linear. Despite its simplicity, Logistic Regression achieved 81.0% accuracy on this dataset, demonstrating that linear relationships capture a significant portion of the predictive signal.</w:t>
      </w:r>
    </w:p>
    <w:p>
      <w:pPr>
        <w:pStyle w:val="Heading3"/>
        <w:spacing w:after="80" w:before="200"/>
      </w:pPr>
      <w:r>
        <w:rPr>
          <w:rFonts w:ascii="Arial" w:cs="Arial" w:eastAsia="Arial" w:hAnsi="Arial"/>
          <w:b/>
          <w:bCs/>
          <w:color w:val="555555"/>
        </w:rPr>
        <w:t xml:space="preserve">5.1.2 Decision Tree</w:t>
      </w:r>
    </w:p>
    <w:p>
      <w:pPr>
        <w:spacing w:after="100" w:before="80"/>
        <w:jc w:val="both"/>
      </w:pPr>
      <w:r>
        <w:rPr>
          <w:rFonts w:ascii="Arial" w:cs="Arial" w:eastAsia="Arial" w:hAnsi="Arial"/>
          <w:b w:val="false"/>
          <w:bCs w:val="false"/>
          <w:color w:val="444444"/>
          <w:sz w:val="22"/>
          <w:szCs w:val="22"/>
        </w:rPr>
        <w:t xml:space="preserve">A non-linear model that recursively partitions the feature space by selecting split points that maximize information gain (or minimize Gini impurity). Decision Trees are highly interpretable — the learned rules can be visualized and explained to business stakeholders. However, they tend to overfit without depth constraints, as evidenced by the lower test accuracy of 72.0%.</w:t>
      </w:r>
    </w:p>
    <w:p>
      <w:pPr>
        <w:pStyle w:val="Heading3"/>
        <w:spacing w:after="80" w:before="200"/>
      </w:pPr>
      <w:r>
        <w:rPr>
          <w:rFonts w:ascii="Arial" w:cs="Arial" w:eastAsia="Arial" w:hAnsi="Arial"/>
          <w:b/>
          <w:bCs/>
          <w:color w:val="555555"/>
        </w:rPr>
        <w:t xml:space="preserve">5.1.3 Random Forest</w:t>
      </w:r>
    </w:p>
    <w:p>
      <w:pPr>
        <w:spacing w:after="100" w:before="80"/>
        <w:jc w:val="both"/>
      </w:pPr>
      <w:r>
        <w:rPr>
          <w:rFonts w:ascii="Arial" w:cs="Arial" w:eastAsia="Arial" w:hAnsi="Arial"/>
          <w:b w:val="false"/>
          <w:bCs w:val="false"/>
          <w:color w:val="444444"/>
          <w:sz w:val="22"/>
          <w:szCs w:val="22"/>
        </w:rPr>
        <w:t xml:space="preserve">An ensemble of multiple Decision Trees trained on bootstrap samples of the training data (bagging), with random feature selection at each split. The final prediction is by majority vote. Hyperparameter tuning identified optimal parameters as n_estimators=200 and max_depth=10, achieving 82.1% test accuracy. Random Forest also provides feature importance rankings, which were used for model interpretation.</w:t>
      </w:r>
    </w:p>
    <w:p>
      <w:pPr>
        <w:pStyle w:val="Heading3"/>
        <w:spacing w:after="80" w:before="200"/>
      </w:pPr>
      <w:r>
        <w:rPr>
          <w:rFonts w:ascii="Arial" w:cs="Arial" w:eastAsia="Arial" w:hAnsi="Arial"/>
          <w:b/>
          <w:bCs/>
          <w:color w:val="555555"/>
        </w:rPr>
        <w:t xml:space="preserve">5.1.4 K-Nearest Neighbours (KNN)</w:t>
      </w:r>
    </w:p>
    <w:p>
      <w:pPr>
        <w:spacing w:after="100" w:before="80"/>
        <w:jc w:val="both"/>
      </w:pPr>
      <w:r>
        <w:rPr>
          <w:rFonts w:ascii="Arial" w:cs="Arial" w:eastAsia="Arial" w:hAnsi="Arial"/>
          <w:b w:val="false"/>
          <w:bCs w:val="false"/>
          <w:color w:val="444444"/>
          <w:sz w:val="22"/>
          <w:szCs w:val="22"/>
        </w:rPr>
        <w:t xml:space="preserve">A non-parametric, instance-based learning algorithm that classifies a new sample based on the majority class of its k nearest neighbours in feature space. KNN requires feature scaling (StandardScaler was applied). It achieved 79.5% accuracy — lower than ensemble methods due to its sensitivity to irrelevant features and the curse of dimensionality in high-dimensional spaces.</w:t>
      </w:r>
    </w:p>
    <w:p>
      <w:pPr>
        <w:pStyle w:val="Heading3"/>
        <w:spacing w:after="80" w:before="200"/>
      </w:pPr>
      <w:r>
        <w:rPr>
          <w:rFonts w:ascii="Arial" w:cs="Arial" w:eastAsia="Arial" w:hAnsi="Arial"/>
          <w:b/>
          <w:bCs/>
          <w:color w:val="555555"/>
        </w:rPr>
        <w:t xml:space="preserve">5.1.5 Support Vector Machine (SVM)</w:t>
      </w:r>
    </w:p>
    <w:p>
      <w:pPr>
        <w:spacing w:after="100" w:before="80"/>
        <w:jc w:val="both"/>
      </w:pPr>
      <w:r>
        <w:rPr>
          <w:rFonts w:ascii="Arial" w:cs="Arial" w:eastAsia="Arial" w:hAnsi="Arial"/>
          <w:b w:val="false"/>
          <w:bCs w:val="false"/>
          <w:color w:val="444444"/>
          <w:sz w:val="22"/>
          <w:szCs w:val="22"/>
        </w:rPr>
        <w:t xml:space="preserve">A maximum-margin classifier that finds the hyperplane that best separates the two classes with the largest margin. The RBF (Radial Basis Function) kernel was used to handle non-linear boundaries. After hyperparameter tuning (C=1, kernel='rbf'), SVM achieved the highest single-model accuracy of 81.93% in the initial benchmark. SVM is computationally expensive but produces excellent generalization on structured tabular data.</w:t>
      </w:r>
    </w:p>
    <w:p>
      <w:pPr>
        <w:pStyle w:val="Heading3"/>
        <w:spacing w:after="80" w:before="200"/>
      </w:pPr>
      <w:r>
        <w:rPr>
          <w:rFonts w:ascii="Arial" w:cs="Arial" w:eastAsia="Arial" w:hAnsi="Arial"/>
          <w:b/>
          <w:bCs/>
          <w:color w:val="555555"/>
        </w:rPr>
        <w:t xml:space="preserve">5.1.6 Naive Bayes (GaussianNB)</w:t>
      </w:r>
    </w:p>
    <w:p>
      <w:pPr>
        <w:spacing w:after="100" w:before="80"/>
        <w:jc w:val="both"/>
      </w:pPr>
      <w:r>
        <w:rPr>
          <w:rFonts w:ascii="Arial" w:cs="Arial" w:eastAsia="Arial" w:hAnsi="Arial"/>
          <w:b w:val="false"/>
          <w:bCs w:val="false"/>
          <w:color w:val="444444"/>
          <w:sz w:val="22"/>
          <w:szCs w:val="22"/>
        </w:rPr>
        <w:t xml:space="preserve">A probabilistic classifier based on Bayes' theorem with the naive assumption of feature independence. Despite this strong assumption being violated in our dataset (bill amounts are highly correlated), Gaussian Naive Bayes still achieved 70.7% accuracy, demonstrating reasonable performance as a fast baseline.</w:t>
      </w:r>
    </w:p>
    <w:p>
      <w:pPr>
        <w:pStyle w:val="Heading3"/>
        <w:spacing w:after="80" w:before="200"/>
      </w:pPr>
      <w:r>
        <w:rPr>
          <w:rFonts w:ascii="Arial" w:cs="Arial" w:eastAsia="Arial" w:hAnsi="Arial"/>
          <w:b/>
          <w:bCs/>
          <w:color w:val="555555"/>
        </w:rPr>
        <w:t xml:space="preserve">5.1.7 XGBoost (Extreme Gradient Boosting)</w:t>
      </w:r>
    </w:p>
    <w:p>
      <w:pPr>
        <w:spacing w:after="100" w:before="80"/>
        <w:jc w:val="both"/>
      </w:pPr>
      <w:r>
        <w:rPr>
          <w:rFonts w:ascii="Arial" w:cs="Arial" w:eastAsia="Arial" w:hAnsi="Arial"/>
          <w:b w:val="false"/>
          <w:bCs w:val="false"/>
          <w:color w:val="444444"/>
          <w:sz w:val="22"/>
          <w:szCs w:val="22"/>
        </w:rPr>
        <w:t xml:space="preserve">A highly optimized gradient boosting framework that builds trees sequentially, with each tree correcting the errors of its predecessors. XGBoost is one of the most powerful algorithms for tabular data. With tuned hyperparameters (n_estimators=300, learning_rate=0.05, max_depth=4, subsample=0.8, colsample_bytree=0.8), it achieved 82.15% accuracy — the highest among all classical ML models tested.</w:t>
      </w:r>
    </w:p>
    <w:p>
      <w:pPr>
        <w:pStyle w:val="Heading3"/>
        <w:spacing w:after="80" w:before="200"/>
      </w:pPr>
      <w:r>
        <w:rPr>
          <w:rFonts w:ascii="Arial" w:cs="Arial" w:eastAsia="Arial" w:hAnsi="Arial"/>
          <w:b/>
          <w:bCs/>
          <w:color w:val="555555"/>
        </w:rPr>
        <w:t xml:space="preserve">5.1.8 Artificial Neural Network (ANN)</w:t>
      </w:r>
    </w:p>
    <w:p>
      <w:pPr>
        <w:spacing w:after="100" w:before="80"/>
        <w:jc w:val="both"/>
      </w:pPr>
      <w:r>
        <w:rPr>
          <w:rFonts w:ascii="Arial" w:cs="Arial" w:eastAsia="Arial" w:hAnsi="Arial"/>
          <w:b w:val="false"/>
          <w:bCs w:val="false"/>
          <w:color w:val="444444"/>
          <w:sz w:val="22"/>
          <w:szCs w:val="22"/>
        </w:rPr>
        <w:t xml:space="preserve">A deep learning model implemented using TensorFlow/Keras with the following architecture:</w:t>
      </w:r>
    </w:p>
    <w:p>
      <w:pPr>
        <w:pStyle w:val="ListParagraph"/>
        <w:numPr>
          <w:ilvl w:val="0"/>
          <w:numId w:val="2"/>
        </w:numPr>
        <w:spacing w:after="40" w:before="40"/>
      </w:pPr>
      <w:r>
        <w:rPr>
          <w:rFonts w:ascii="Arial" w:cs="Arial" w:eastAsia="Arial" w:hAnsi="Arial"/>
          <w:color w:val="444444"/>
          <w:sz w:val="22"/>
          <w:szCs w:val="22"/>
        </w:rPr>
        <w:t xml:space="preserve">Input layer: 24 features (23 original + 2 engineered)</w:t>
      </w:r>
    </w:p>
    <w:p>
      <w:pPr>
        <w:pStyle w:val="ListParagraph"/>
        <w:numPr>
          <w:ilvl w:val="0"/>
          <w:numId w:val="2"/>
        </w:numPr>
        <w:spacing w:after="40" w:before="40"/>
      </w:pPr>
      <w:r>
        <w:rPr>
          <w:rFonts w:ascii="Arial" w:cs="Arial" w:eastAsia="Arial" w:hAnsi="Arial"/>
          <w:color w:val="444444"/>
          <w:sz w:val="22"/>
          <w:szCs w:val="22"/>
        </w:rPr>
        <w:t xml:space="preserve">Hidden Layer 1: 128 neurons, ReLU activation, Dropout(0.2)</w:t>
      </w:r>
    </w:p>
    <w:p>
      <w:pPr>
        <w:pStyle w:val="ListParagraph"/>
        <w:numPr>
          <w:ilvl w:val="0"/>
          <w:numId w:val="2"/>
        </w:numPr>
        <w:spacing w:after="40" w:before="40"/>
      </w:pPr>
      <w:r>
        <w:rPr>
          <w:rFonts w:ascii="Arial" w:cs="Arial" w:eastAsia="Arial" w:hAnsi="Arial"/>
          <w:color w:val="444444"/>
          <w:sz w:val="22"/>
          <w:szCs w:val="22"/>
        </w:rPr>
        <w:t xml:space="preserve">Hidden Layer 2: 64 neurons, ReLU activation, Dropout(0.2)</w:t>
      </w:r>
    </w:p>
    <w:p>
      <w:pPr>
        <w:pStyle w:val="ListParagraph"/>
        <w:numPr>
          <w:ilvl w:val="0"/>
          <w:numId w:val="2"/>
        </w:numPr>
        <w:spacing w:after="40" w:before="40"/>
      </w:pPr>
      <w:r>
        <w:rPr>
          <w:rFonts w:ascii="Arial" w:cs="Arial" w:eastAsia="Arial" w:hAnsi="Arial"/>
          <w:color w:val="444444"/>
          <w:sz w:val="22"/>
          <w:szCs w:val="22"/>
        </w:rPr>
        <w:t xml:space="preserve">Hidden Layer 3: 32 neurons, ReLU activation</w:t>
      </w:r>
    </w:p>
    <w:p>
      <w:pPr>
        <w:pStyle w:val="ListParagraph"/>
        <w:numPr>
          <w:ilvl w:val="0"/>
          <w:numId w:val="2"/>
        </w:numPr>
        <w:spacing w:after="40" w:before="40"/>
      </w:pPr>
      <w:r>
        <w:rPr>
          <w:rFonts w:ascii="Arial" w:cs="Arial" w:eastAsia="Arial" w:hAnsi="Arial"/>
          <w:color w:val="444444"/>
          <w:sz w:val="22"/>
          <w:szCs w:val="22"/>
        </w:rPr>
        <w:t xml:space="preserve">Output Layer: 1 neuron, Sigmoid activation</w:t>
      </w:r>
    </w:p>
    <w:p>
      <w:pPr>
        <w:pStyle w:val="ListParagraph"/>
        <w:numPr>
          <w:ilvl w:val="0"/>
          <w:numId w:val="2"/>
        </w:numPr>
        <w:spacing w:after="40" w:before="40"/>
      </w:pPr>
      <w:r>
        <w:rPr>
          <w:rFonts w:ascii="Arial" w:cs="Arial" w:eastAsia="Arial" w:hAnsi="Arial"/>
          <w:color w:val="444444"/>
          <w:sz w:val="22"/>
          <w:szCs w:val="22"/>
        </w:rPr>
        <w:t xml:space="preserve">Optimizer: Adam | Loss: Binary Cross-Entropy | Epochs: 30-50 | Batch Size: 64</w:t>
      </w:r>
    </w:p>
    <w:p>
      <w:pPr>
        <w:spacing w:after="100" w:before="80"/>
        <w:jc w:val="both"/>
      </w:pPr>
      <w:r>
        <w:rPr>
          <w:rFonts w:ascii="Arial" w:cs="Arial" w:eastAsia="Arial" w:hAnsi="Arial"/>
          <w:b w:val="false"/>
          <w:bCs w:val="false"/>
          <w:color w:val="444444"/>
          <w:sz w:val="22"/>
          <w:szCs w:val="22"/>
        </w:rPr>
        <w:t xml:space="preserve">The ANN achieved 81.72% accuracy after training, comparable to the best classical models. Dropout layers were added for regularization to prevent overfitting.</w:t>
      </w:r>
    </w:p>
    <w:p>
      <w:r>
        <w:br/>
      </w:r>
    </w:p>
    <w:p>
      <w:pPr>
        <w:pStyle w:val="Heading1"/>
        <w:pBdr>
          <w:bottom w:val="single" w:color="2E75B6" w:sz="6" w:space="1"/>
        </w:pBdr>
        <w:spacing w:after="160" w:before="400"/>
      </w:pPr>
      <w:r>
        <w:rPr>
          <w:rFonts w:ascii="Arial" w:cs="Arial" w:eastAsia="Arial" w:hAnsi="Arial"/>
          <w:b/>
          <w:bCs/>
          <w:color w:val="1F3864"/>
        </w:rPr>
        <w:t xml:space="preserve">6. Model Evaluation and Comparison</w:t>
      </w:r>
    </w:p>
    <w:p>
      <w:pPr>
        <w:pStyle w:val="Heading2"/>
        <w:spacing w:after="120" w:before="280"/>
      </w:pPr>
      <w:r>
        <w:rPr>
          <w:rFonts w:ascii="Arial" w:cs="Arial" w:eastAsia="Arial" w:hAnsi="Arial"/>
          <w:b/>
          <w:bCs/>
          <w:color w:val="4472C4"/>
        </w:rPr>
        <w:t xml:space="preserve">6.1 Evaluation Metrics</w:t>
      </w:r>
    </w:p>
    <w:p>
      <w:pPr>
        <w:spacing w:after="100" w:before="80"/>
        <w:jc w:val="both"/>
      </w:pPr>
      <w:r>
        <w:rPr>
          <w:rFonts w:ascii="Arial" w:cs="Arial" w:eastAsia="Arial" w:hAnsi="Arial"/>
          <w:b w:val="false"/>
          <w:bCs w:val="false"/>
          <w:color w:val="444444"/>
          <w:sz w:val="22"/>
          <w:szCs w:val="22"/>
        </w:rPr>
        <w:t xml:space="preserve">Multiple evaluation metrics were used to comprehensively assess model performance:</w:t>
      </w:r>
    </w:p>
    <w:p>
      <w:pPr>
        <w:pStyle w:val="ListParagraph"/>
        <w:numPr>
          <w:ilvl w:val="0"/>
          <w:numId w:val="2"/>
        </w:numPr>
        <w:spacing w:after="40" w:before="40"/>
      </w:pPr>
      <w:r>
        <w:rPr>
          <w:rFonts w:ascii="Arial" w:cs="Arial" w:eastAsia="Arial" w:hAnsi="Arial"/>
          <w:color w:val="444444"/>
          <w:sz w:val="22"/>
          <w:szCs w:val="22"/>
        </w:rPr>
        <w:t xml:space="preserve">Accuracy: Overall proportion of correct predictions — (TP+TN)/(TP+TN+FP+FN)</w:t>
      </w:r>
    </w:p>
    <w:p>
      <w:pPr>
        <w:pStyle w:val="ListParagraph"/>
        <w:numPr>
          <w:ilvl w:val="0"/>
          <w:numId w:val="2"/>
        </w:numPr>
        <w:spacing w:after="40" w:before="40"/>
      </w:pPr>
      <w:r>
        <w:rPr>
          <w:rFonts w:ascii="Arial" w:cs="Arial" w:eastAsia="Arial" w:hAnsi="Arial"/>
          <w:color w:val="444444"/>
          <w:sz w:val="22"/>
          <w:szCs w:val="22"/>
        </w:rPr>
        <w:t xml:space="preserve">Precision: Of all predicted defaults, what fraction were actual defaults — TP/(TP+FP). High precision minimizes false alarms (approving bad customers)</w:t>
      </w:r>
    </w:p>
    <w:p>
      <w:pPr>
        <w:pStyle w:val="ListParagraph"/>
        <w:numPr>
          <w:ilvl w:val="0"/>
          <w:numId w:val="2"/>
        </w:numPr>
        <w:spacing w:after="40" w:before="40"/>
      </w:pPr>
      <w:r>
        <w:rPr>
          <w:rFonts w:ascii="Arial" w:cs="Arial" w:eastAsia="Arial" w:hAnsi="Arial"/>
          <w:color w:val="444444"/>
          <w:sz w:val="22"/>
          <w:szCs w:val="22"/>
        </w:rPr>
        <w:t xml:space="preserve">Recall (Sensitivity): Of all actual defaults, what fraction did the model catch — TP/(TP+FN). High recall minimizes missed defaults (granting credit to bad customers)</w:t>
      </w:r>
    </w:p>
    <w:p>
      <w:pPr>
        <w:pStyle w:val="ListParagraph"/>
        <w:numPr>
          <w:ilvl w:val="0"/>
          <w:numId w:val="2"/>
        </w:numPr>
        <w:spacing w:after="40" w:before="40"/>
      </w:pPr>
      <w:r>
        <w:rPr>
          <w:rFonts w:ascii="Arial" w:cs="Arial" w:eastAsia="Arial" w:hAnsi="Arial"/>
          <w:color w:val="444444"/>
          <w:sz w:val="22"/>
          <w:szCs w:val="22"/>
        </w:rPr>
        <w:t xml:space="preserve">F1 Score: Harmonic mean of Precision and Recall — 2*(P*R)/(P+R). Most important metric when classes are imbalanced</w:t>
      </w:r>
    </w:p>
    <w:p>
      <w:pPr>
        <w:pStyle w:val="ListParagraph"/>
        <w:numPr>
          <w:ilvl w:val="0"/>
          <w:numId w:val="2"/>
        </w:numPr>
        <w:spacing w:after="40" w:before="40"/>
      </w:pPr>
      <w:r>
        <w:rPr>
          <w:rFonts w:ascii="Arial" w:cs="Arial" w:eastAsia="Arial" w:hAnsi="Arial"/>
          <w:color w:val="444444"/>
          <w:sz w:val="22"/>
          <w:szCs w:val="22"/>
        </w:rPr>
        <w:t xml:space="preserve">ROC-AUC: Area Under the Receiver Operating Characteristic Curve — measures the model's ability to discriminate between classes across all classification thresholds</w:t>
      </w:r>
    </w:p>
    <w:p>
      <w:pPr>
        <w:spacing w:after="100" w:before="80"/>
        <w:jc w:val="both"/>
      </w:pPr>
      <w:r>
        <w:rPr>
          <w:rFonts w:ascii="Arial" w:cs="Arial" w:eastAsia="Arial" w:hAnsi="Arial"/>
          <w:b w:val="false"/>
          <w:bCs w:val="false"/>
          <w:color w:val="444444"/>
          <w:sz w:val="22"/>
          <w:szCs w:val="22"/>
        </w:rPr>
        <w:t xml:space="preserve">For credit risk prediction, Recall is the most business-critical metric — failing to identify a defaulter (false negative) is far more costly to the bank than a false alarm (false positive).</w:t>
      </w:r>
    </w:p>
    <w:p>
      <w:pPr>
        <w:pStyle w:val="Heading2"/>
        <w:spacing w:after="120" w:before="280"/>
      </w:pPr>
      <w:r>
        <w:rPr>
          <w:rFonts w:ascii="Arial" w:cs="Arial" w:eastAsia="Arial" w:hAnsi="Arial"/>
          <w:b/>
          <w:bCs/>
          <w:color w:val="4472C4"/>
        </w:rPr>
        <w:t xml:space="preserve">6.2 Benchmark Results — Initial Models (No SMOTE)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400"/>
        <w:gridCol w:w="1300"/>
        <w:gridCol w:w="18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 Acc.</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Acc.</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Logistic Regression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0.810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0.82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0.24 (default)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0.62 (macro avg)</w:t>
            </w:r>
          </w:p>
        </w:tc>
      </w:tr>
      <w:tr>
        <w:tc>
          <w:tcPr>
            <w:tcW w:type="dxa" w:w="2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Decision Tree</w:t>
            </w:r>
          </w:p>
        </w:tc>
        <w:tc>
          <w:tcPr>
            <w:tcW w:type="dxa" w:w="1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c>
          <w:tcPr>
            <w:tcW w:type="dxa" w:w="1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0.720</w:t>
            </w:r>
          </w:p>
        </w:tc>
        <w:tc>
          <w:tcPr>
            <w:tcW w:type="dxa" w:w="1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c>
          <w:tcPr>
            <w:tcW w:type="dxa" w:w="13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c>
          <w:tcPr>
            <w:tcW w:type="dxa" w:w="18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Random Forest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0.857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0.821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0.672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0.356</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0.465</w:t>
            </w:r>
          </w:p>
        </w:tc>
      </w:tr>
      <w:tr>
        <w:tc>
          <w:tcPr>
            <w:tcW w:type="dxa" w:w="2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KNN</w:t>
            </w:r>
          </w:p>
        </w:tc>
        <w:tc>
          <w:tcPr>
            <w:tcW w:type="dxa" w:w="1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c>
          <w:tcPr>
            <w:tcW w:type="dxa" w:w="1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0.795</w:t>
            </w:r>
          </w:p>
        </w:tc>
        <w:tc>
          <w:tcPr>
            <w:tcW w:type="dxa" w:w="1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c>
          <w:tcPr>
            <w:tcW w:type="dxa" w:w="13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c>
          <w:tcPr>
            <w:tcW w:type="dxa" w:w="18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SVM (tuned)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0.825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0.819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0.678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0.332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0.446</w:t>
            </w:r>
          </w:p>
        </w:tc>
      </w:tr>
      <w:tr>
        <w:tc>
          <w:tcPr>
            <w:tcW w:type="dxa" w:w="2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Naive Bayes</w:t>
            </w:r>
          </w:p>
        </w:tc>
        <w:tc>
          <w:tcPr>
            <w:tcW w:type="dxa" w:w="1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c>
          <w:tcPr>
            <w:tcW w:type="dxa" w:w="1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0.707</w:t>
            </w:r>
          </w:p>
        </w:tc>
        <w:tc>
          <w:tcPr>
            <w:tcW w:type="dxa" w:w="1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c>
          <w:tcPr>
            <w:tcW w:type="dxa" w:w="13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c>
          <w:tcPr>
            <w:tcW w:type="dxa" w:w="18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XGBoost (tuned)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0.832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0.821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0.669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0.365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0.472</w:t>
            </w:r>
          </w:p>
        </w:tc>
      </w:tr>
      <w:tr>
        <w:tc>
          <w:tcPr>
            <w:tcW w:type="dxa" w:w="2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ANN (30 epochs)</w:t>
            </w:r>
          </w:p>
        </w:tc>
        <w:tc>
          <w:tcPr>
            <w:tcW w:type="dxa" w:w="1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c>
          <w:tcPr>
            <w:tcW w:type="dxa" w:w="1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0.817</w:t>
            </w:r>
          </w:p>
        </w:tc>
        <w:tc>
          <w:tcPr>
            <w:tcW w:type="dxa" w:w="1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c>
          <w:tcPr>
            <w:tcW w:type="dxa" w:w="13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c>
          <w:tcPr>
            <w:tcW w:type="dxa" w:w="18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2"/>
              <w:bottom w:val="none" w:color="FFFFFF" w:sz="0"/>
              <w:right w:val="none" w:color="FFFFFF" w:sz="0"/>
            </w:tcBorders>
            <w:shd w:fill="EBF3FB" w:val="clear"/>
            <w:tcMar>
              <w:top w:type="dxa" w:w="120"/>
              <w:left w:type="dxa" w:w="200"/>
              <w:bottom w:type="dxa" w:w="120"/>
              <w:right w:type="dxa" w:w="120"/>
            </w:tcMar>
          </w:tcPr>
          <w:p>
            <w:r>
              <w:rPr>
                <w:rFonts w:ascii="Arial" w:cs="Arial" w:eastAsia="Arial" w:hAnsi="Arial"/>
                <w:b/>
                <w:bCs/>
                <w:color w:val="1F3864"/>
                <w:sz w:val="22"/>
                <w:szCs w:val="22"/>
              </w:rPr>
              <w:t xml:space="preserve">Key Observation</w:t>
            </w:r>
          </w:p>
          <w:p>
            <w:pPr>
              <w:spacing w:before="60"/>
            </w:pPr>
            <w:r>
              <w:rPr>
                <w:rFonts w:ascii="Arial" w:cs="Arial" w:eastAsia="Arial" w:hAnsi="Arial"/>
                <w:color w:val="444444"/>
                <w:sz w:val="20"/>
                <w:szCs w:val="20"/>
              </w:rPr>
              <w:t xml:space="preserve">All baseline models achieved reasonable accuracy (70-82%) but very low Recall on the Default class (typically 24-36%). This confirms the class imbalance problem — models learn to predict 'No Default' the majority of the time, missing most actual defaulters. This must be addressed with SMOTE or class weighting.</w:t>
            </w:r>
          </w:p>
        </w:tc>
      </w:tr>
    </w:tbl>
    <w:p/>
    <w:p>
      <w:pPr>
        <w:pStyle w:val="Heading2"/>
        <w:spacing w:after="120" w:before="280"/>
      </w:pPr>
      <w:r>
        <w:rPr>
          <w:rFonts w:ascii="Arial" w:cs="Arial" w:eastAsia="Arial" w:hAnsi="Arial"/>
          <w:b/>
          <w:bCs/>
          <w:color w:val="4472C4"/>
        </w:rPr>
        <w:t xml:space="preserve">6.3 Best Model — XGBoost</w:t>
      </w:r>
    </w:p>
    <w:p>
      <w:pPr>
        <w:spacing w:after="100" w:before="80"/>
        <w:jc w:val="both"/>
      </w:pPr>
      <w:r>
        <w:rPr>
          <w:rFonts w:ascii="Arial" w:cs="Arial" w:eastAsia="Arial" w:hAnsi="Arial"/>
          <w:b w:val="false"/>
          <w:bCs w:val="false"/>
          <w:color w:val="444444"/>
          <w:sz w:val="22"/>
          <w:szCs w:val="22"/>
        </w:rPr>
        <w:t xml:space="preserve">XGBoost emerged as the best-performing classical model with 82.15% test accuracy. Key advantages that explain its strong performance on this dataset:</w:t>
      </w:r>
    </w:p>
    <w:p>
      <w:pPr>
        <w:pStyle w:val="ListParagraph"/>
        <w:numPr>
          <w:ilvl w:val="0"/>
          <w:numId w:val="2"/>
        </w:numPr>
        <w:spacing w:after="40" w:before="40"/>
      </w:pPr>
      <w:r>
        <w:rPr>
          <w:rFonts w:ascii="Arial" w:cs="Arial" w:eastAsia="Arial" w:hAnsi="Arial"/>
          <w:color w:val="444444"/>
          <w:sz w:val="22"/>
          <w:szCs w:val="22"/>
        </w:rPr>
        <w:t xml:space="preserve">Gradient boosting sequentially reduces prediction error, making it particularly effective for imbalanced tabular data</w:t>
      </w:r>
    </w:p>
    <w:p>
      <w:pPr>
        <w:pStyle w:val="ListParagraph"/>
        <w:numPr>
          <w:ilvl w:val="0"/>
          <w:numId w:val="2"/>
        </w:numPr>
        <w:spacing w:after="40" w:before="40"/>
      </w:pPr>
      <w:r>
        <w:rPr>
          <w:rFonts w:ascii="Arial" w:cs="Arial" w:eastAsia="Arial" w:hAnsi="Arial"/>
          <w:color w:val="444444"/>
          <w:sz w:val="22"/>
          <w:szCs w:val="22"/>
        </w:rPr>
        <w:t xml:space="preserve">Built-in regularization (L1/L2) prevents overfitting</w:t>
      </w:r>
    </w:p>
    <w:p>
      <w:pPr>
        <w:pStyle w:val="ListParagraph"/>
        <w:numPr>
          <w:ilvl w:val="0"/>
          <w:numId w:val="2"/>
        </w:numPr>
        <w:spacing w:after="40" w:before="40"/>
      </w:pPr>
      <w:r>
        <w:rPr>
          <w:rFonts w:ascii="Arial" w:cs="Arial" w:eastAsia="Arial" w:hAnsi="Arial"/>
          <w:color w:val="444444"/>
          <w:sz w:val="22"/>
          <w:szCs w:val="22"/>
        </w:rPr>
        <w:t xml:space="preserve">Handles non-linear relationships and feature interactions automatically</w:t>
      </w:r>
    </w:p>
    <w:p>
      <w:pPr>
        <w:pStyle w:val="ListParagraph"/>
        <w:numPr>
          <w:ilvl w:val="0"/>
          <w:numId w:val="2"/>
        </w:numPr>
        <w:spacing w:after="40" w:before="40"/>
      </w:pPr>
      <w:r>
        <w:rPr>
          <w:rFonts w:ascii="Arial" w:cs="Arial" w:eastAsia="Arial" w:hAnsi="Arial"/>
          <w:color w:val="444444"/>
          <w:sz w:val="22"/>
          <w:szCs w:val="22"/>
        </w:rPr>
        <w:t xml:space="preserve">Less sensitive to feature scaling compared to SVM and KNN</w:t>
      </w:r>
    </w:p>
    <w:p>
      <w:pPr>
        <w:pStyle w:val="ListParagraph"/>
        <w:numPr>
          <w:ilvl w:val="0"/>
          <w:numId w:val="2"/>
        </w:numPr>
        <w:spacing w:after="40" w:before="40"/>
      </w:pPr>
      <w:r>
        <w:rPr>
          <w:rFonts w:ascii="Arial" w:cs="Arial" w:eastAsia="Arial" w:hAnsi="Arial"/>
          <w:color w:val="444444"/>
          <w:sz w:val="22"/>
          <w:szCs w:val="22"/>
        </w:rPr>
        <w:t xml:space="preserve">The subsample=0.8 and colsample_bytree=0.8 parameters added stochasticity that improved generalization</w:t>
      </w:r>
    </w:p>
    <w:p>
      <w:pPr>
        <w:pStyle w:val="Heading2"/>
        <w:spacing w:after="120" w:before="280"/>
      </w:pPr>
      <w:r>
        <w:rPr>
          <w:rFonts w:ascii="Arial" w:cs="Arial" w:eastAsia="Arial" w:hAnsi="Arial"/>
          <w:b/>
          <w:bCs/>
          <w:color w:val="4472C4"/>
        </w:rPr>
        <w:t xml:space="preserve">6.4 Improved Pipeline — SMOTE Results</w:t>
      </w:r>
    </w:p>
    <w:p>
      <w:pPr>
        <w:spacing w:after="100" w:before="80"/>
        <w:jc w:val="both"/>
      </w:pPr>
      <w:r>
        <w:rPr>
          <w:rFonts w:ascii="Arial" w:cs="Arial" w:eastAsia="Arial" w:hAnsi="Arial"/>
          <w:b w:val="false"/>
          <w:bCs w:val="false"/>
          <w:color w:val="444444"/>
          <w:sz w:val="22"/>
          <w:szCs w:val="22"/>
        </w:rPr>
        <w:t xml:space="preserve">In the improved modelling pipeline (applied in the Streamlit deployment), SMOTE (Synthetic Minority Oversampling Technique) was applied to the training set to address class imbalance: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400"/>
        <w:gridCol w:w="1200"/>
        <w:gridCol w:w="19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Precision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Recall</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ROC-AUC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Logistic Regression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0.6900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0.3713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0.5814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0.4536</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0.6914</w:t>
            </w:r>
          </w:p>
        </w:tc>
      </w:tr>
      <w:tr>
        <w:tc>
          <w:tcPr>
            <w:tcW w:type="dxa" w:w="2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Decision Tree (d=6)</w:t>
            </w:r>
          </w:p>
        </w:tc>
        <w:tc>
          <w:tcPr>
            <w:tcW w:type="dxa" w:w="1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0.7323</w:t>
            </w:r>
          </w:p>
        </w:tc>
        <w:tc>
          <w:tcPr>
            <w:tcW w:type="dxa" w:w="1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0.4208</w:t>
            </w:r>
          </w:p>
        </w:tc>
        <w:tc>
          <w:tcPr>
            <w:tcW w:type="dxa" w:w="1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0.5614</w:t>
            </w:r>
          </w:p>
        </w:tc>
        <w:tc>
          <w:tcPr>
            <w:tcW w:type="dxa" w:w="1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0.4816</w:t>
            </w:r>
          </w:p>
        </w:tc>
        <w:tc>
          <w:tcPr>
            <w:tcW w:type="dxa" w:w="19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0.7189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Gradient Boosting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0.7593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0.4628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0.5486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0.5021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0.7429</w:t>
            </w:r>
          </w:p>
        </w:tc>
      </w:tr>
      <w:tr>
        <w:tc>
          <w:tcPr>
            <w:tcW w:type="dxa" w:w="2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Random Forest (n=50)</w:t>
            </w:r>
          </w:p>
        </w:tc>
        <w:tc>
          <w:tcPr>
            <w:tcW w:type="dxa" w:w="1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0.7722</w:t>
            </w:r>
          </w:p>
        </w:tc>
        <w:tc>
          <w:tcPr>
            <w:tcW w:type="dxa" w:w="1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0.4864</w:t>
            </w:r>
          </w:p>
        </w:tc>
        <w:tc>
          <w:tcPr>
            <w:tcW w:type="dxa" w:w="1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0.5411</w:t>
            </w:r>
          </w:p>
        </w:tc>
        <w:tc>
          <w:tcPr>
            <w:tcW w:type="dxa" w:w="1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0.5123</w:t>
            </w:r>
          </w:p>
        </w:tc>
        <w:tc>
          <w:tcPr>
            <w:tcW w:type="dxa" w:w="19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0.7570</w:t>
            </w:r>
          </w:p>
        </w:tc>
      </w:tr>
    </w:tbl>
    <w:p/>
    <w:p>
      <w:pPr>
        <w:spacing w:after="100" w:before="80"/>
        <w:jc w:val="both"/>
      </w:pPr>
      <w:r>
        <w:rPr>
          <w:rFonts w:ascii="Arial" w:cs="Arial" w:eastAsia="Arial" w:hAnsi="Arial"/>
          <w:b w:val="false"/>
          <w:bCs w:val="false"/>
          <w:color w:val="444444"/>
          <w:sz w:val="22"/>
          <w:szCs w:val="22"/>
        </w:rPr>
        <w:t xml:space="preserve">After applying SMOTE, Recall on the Default class improved significantly from ~33% to ~54%, demonstrating the importance of class balancing for credit risk models.</w:t>
      </w:r>
    </w:p>
    <w:p>
      <w:r>
        <w:br/>
      </w:r>
    </w:p>
    <w:p>
      <w:pPr>
        <w:pStyle w:val="Heading1"/>
        <w:pBdr>
          <w:bottom w:val="single" w:color="2E75B6" w:sz="6" w:space="1"/>
        </w:pBdr>
        <w:spacing w:after="160" w:before="400"/>
      </w:pPr>
      <w:r>
        <w:rPr>
          <w:rFonts w:ascii="Arial" w:cs="Arial" w:eastAsia="Arial" w:hAnsi="Arial"/>
          <w:b/>
          <w:bCs/>
          <w:color w:val="1F3864"/>
        </w:rPr>
        <w:t xml:space="preserve">7. Feature Importance and Model Interpretation</w:t>
      </w:r>
    </w:p>
    <w:p>
      <w:pPr>
        <w:pStyle w:val="Heading2"/>
        <w:spacing w:after="120" w:before="280"/>
      </w:pPr>
      <w:r>
        <w:rPr>
          <w:rFonts w:ascii="Arial" w:cs="Arial" w:eastAsia="Arial" w:hAnsi="Arial"/>
          <w:b/>
          <w:bCs/>
          <w:color w:val="4472C4"/>
        </w:rPr>
        <w:t xml:space="preserve">7.1 Key Predictors</w:t>
      </w:r>
    </w:p>
    <w:p>
      <w:pPr>
        <w:spacing w:after="100" w:before="80"/>
        <w:jc w:val="both"/>
      </w:pPr>
      <w:r>
        <w:rPr>
          <w:rFonts w:ascii="Arial" w:cs="Arial" w:eastAsia="Arial" w:hAnsi="Arial"/>
          <w:b w:val="false"/>
          <w:bCs w:val="false"/>
          <w:color w:val="444444"/>
          <w:sz w:val="22"/>
          <w:szCs w:val="22"/>
        </w:rPr>
        <w:t xml:space="preserve">Feature importance analysis from the Random Forest and XGBoost models consistently identified the following features as the strongest predictors of credit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1500"/>
        <w:gridCol w:w="52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Importance</w:t>
            </w:r>
          </w:p>
        </w:tc>
        <w:tc>
          <w:tcPr>
            <w:tcW w:type="dxa" w:w="5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Interpretation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PAY_0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0.112</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Most recent repayment status — single strongest signal</w:t>
            </w:r>
          </w:p>
        </w:tc>
      </w:tr>
      <w:tr>
        <w:tc>
          <w:tcPr>
            <w:tcW w:type="dxa" w:w="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2</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PAY_2</w:t>
            </w:r>
          </w:p>
        </w:tc>
        <w:tc>
          <w:tcPr>
            <w:tcW w:type="dxa" w:w="1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0.072</w:t>
            </w:r>
          </w:p>
        </w:tc>
        <w:tc>
          <w:tcPr>
            <w:tcW w:type="dxa" w:w="52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August repayment status — delayed payments cascade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LIMIT_BAL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0.069</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Higher credit limit = lower risk (bank assessment)</w:t>
            </w:r>
          </w:p>
        </w:tc>
      </w:tr>
      <w:tr>
        <w:tc>
          <w:tcPr>
            <w:tcW w:type="dxa" w:w="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4</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PAY_3</w:t>
            </w:r>
          </w:p>
        </w:tc>
        <w:tc>
          <w:tcPr>
            <w:tcW w:type="dxa" w:w="1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0.061</w:t>
            </w:r>
          </w:p>
        </w:tc>
        <w:tc>
          <w:tcPr>
            <w:tcW w:type="dxa" w:w="52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July repayment 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PAY_4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0.054</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June repayment status</w:t>
            </w:r>
          </w:p>
        </w:tc>
      </w:tr>
      <w:tr>
        <w:tc>
          <w:tcPr>
            <w:tcW w:type="dxa" w:w="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6</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BILL_AMT1</w:t>
            </w:r>
          </w:p>
        </w:tc>
        <w:tc>
          <w:tcPr>
            <w:tcW w:type="dxa" w:w="1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0.048</w:t>
            </w:r>
          </w:p>
        </w:tc>
        <w:tc>
          <w:tcPr>
            <w:tcW w:type="dxa" w:w="52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September bill amount — latest financial exposure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PAY_AMT1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0.041</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September payment — most recent repayment ability</w:t>
            </w:r>
          </w:p>
        </w:tc>
      </w:tr>
      <w:tr>
        <w:tc>
          <w:tcPr>
            <w:tcW w:type="dxa" w:w="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8</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AGE</w:t>
            </w:r>
          </w:p>
        </w:tc>
        <w:tc>
          <w:tcPr>
            <w:tcW w:type="dxa" w:w="1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0.033</w:t>
            </w:r>
          </w:p>
        </w:tc>
        <w:tc>
          <w:tcPr>
            <w:tcW w:type="dxa" w:w="52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Age-related financial stability</w:t>
            </w:r>
          </w:p>
        </w:tc>
      </w:tr>
    </w:tbl>
    <w:p/>
    <w:p>
      <w:pPr>
        <w:pStyle w:val="Heading2"/>
        <w:spacing w:after="120" w:before="280"/>
      </w:pPr>
      <w:r>
        <w:rPr>
          <w:rFonts w:ascii="Arial" w:cs="Arial" w:eastAsia="Arial" w:hAnsi="Arial"/>
          <w:b/>
          <w:bCs/>
          <w:color w:val="4472C4"/>
        </w:rPr>
        <w:t xml:space="preserve">7.2 Insights from Feature Importance</w:t>
      </w:r>
    </w:p>
    <w:p>
      <w:pPr>
        <w:pStyle w:val="ListParagraph"/>
        <w:numPr>
          <w:ilvl w:val="0"/>
          <w:numId w:val="2"/>
        </w:numPr>
        <w:spacing w:after="40" w:before="40"/>
      </w:pPr>
      <w:r>
        <w:rPr>
          <w:rFonts w:ascii="Arial" w:cs="Arial" w:eastAsia="Arial" w:hAnsi="Arial"/>
          <w:color w:val="444444"/>
          <w:sz w:val="22"/>
          <w:szCs w:val="22"/>
        </w:rPr>
        <w:t xml:space="preserve">Repayment history features (PAY_0 through PAY_6) collectively dominate the feature importance rankings, confirming that payment behaviour is the strongest indicator of future default</w:t>
      </w:r>
    </w:p>
    <w:p>
      <w:pPr>
        <w:pStyle w:val="ListParagraph"/>
        <w:numPr>
          <w:ilvl w:val="0"/>
          <w:numId w:val="2"/>
        </w:numPr>
        <w:spacing w:after="40" w:before="40"/>
      </w:pPr>
      <w:r>
        <w:rPr>
          <w:rFonts w:ascii="Arial" w:cs="Arial" w:eastAsia="Arial" w:hAnsi="Arial"/>
          <w:color w:val="444444"/>
          <w:sz w:val="22"/>
          <w:szCs w:val="22"/>
        </w:rPr>
        <w:t xml:space="preserve">LIMIT_BAL carries significant importance — this reflects the bank's own credit assessment already embedded in the limit granted to the customer</w:t>
      </w:r>
    </w:p>
    <w:p>
      <w:pPr>
        <w:pStyle w:val="ListParagraph"/>
        <w:numPr>
          <w:ilvl w:val="0"/>
          <w:numId w:val="2"/>
        </w:numPr>
        <w:spacing w:after="40" w:before="40"/>
      </w:pPr>
      <w:r>
        <w:rPr>
          <w:rFonts w:ascii="Arial" w:cs="Arial" w:eastAsia="Arial" w:hAnsi="Arial"/>
          <w:color w:val="444444"/>
          <w:sz w:val="22"/>
          <w:szCs w:val="22"/>
        </w:rPr>
        <w:t xml:space="preserve">Bill amount features (BILL_AMT) are important but less so than payment history, suggesting it's not how much someone owes but whether they consistently pay that matters most</w:t>
      </w:r>
    </w:p>
    <w:p>
      <w:pPr>
        <w:pStyle w:val="ListParagraph"/>
        <w:numPr>
          <w:ilvl w:val="0"/>
          <w:numId w:val="2"/>
        </w:numPr>
        <w:spacing w:after="40" w:before="40"/>
      </w:pPr>
      <w:r>
        <w:rPr>
          <w:rFonts w:ascii="Arial" w:cs="Arial" w:eastAsia="Arial" w:hAnsi="Arial"/>
          <w:color w:val="444444"/>
          <w:sz w:val="22"/>
          <w:szCs w:val="22"/>
        </w:rPr>
        <w:t xml:space="preserve">Demographic features (AGE, SEX, EDUCATION, MARRIAGE) have low individual importance, suggesting the model correctly prioritizes financial behaviour over demographics</w:t>
      </w:r>
    </w:p>
    <w:p>
      <w:pPr>
        <w:pStyle w:val="Heading2"/>
        <w:spacing w:after="120" w:before="280"/>
      </w:pPr>
      <w:r>
        <w:rPr>
          <w:rFonts w:ascii="Arial" w:cs="Arial" w:eastAsia="Arial" w:hAnsi="Arial"/>
          <w:b/>
          <w:bCs/>
          <w:color w:val="4472C4"/>
        </w:rPr>
        <w:t xml:space="preserve">7.3 Correlation Analysis</w:t>
      </w:r>
    </w:p>
    <w:p>
      <w:pPr>
        <w:spacing w:after="100" w:before="80"/>
        <w:jc w:val="both"/>
      </w:pPr>
      <w:r>
        <w:rPr>
          <w:rFonts w:ascii="Arial" w:cs="Arial" w:eastAsia="Arial" w:hAnsi="Arial"/>
          <w:b w:val="false"/>
          <w:bCs w:val="false"/>
          <w:color w:val="444444"/>
          <w:sz w:val="22"/>
          <w:szCs w:val="22"/>
        </w:rPr>
        <w:t xml:space="preserve">Pearson correlation analysis with the target variable confirmed the feature importance rankings:</w:t>
      </w:r>
    </w:p>
    <w:p>
      <w:pPr>
        <w:pStyle w:val="ListParagraph"/>
        <w:numPr>
          <w:ilvl w:val="0"/>
          <w:numId w:val="2"/>
        </w:numPr>
        <w:spacing w:after="40" w:before="40"/>
      </w:pPr>
      <w:r>
        <w:rPr>
          <w:rFonts w:ascii="Arial" w:cs="Arial" w:eastAsia="Arial" w:hAnsi="Arial"/>
          <w:color w:val="444444"/>
          <w:sz w:val="22"/>
          <w:szCs w:val="22"/>
        </w:rPr>
        <w:t xml:space="preserve">PAY_0: r = +0.324 (strongest positive correlation — more delay = more default)</w:t>
      </w:r>
    </w:p>
    <w:p>
      <w:pPr>
        <w:pStyle w:val="ListParagraph"/>
        <w:numPr>
          <w:ilvl w:val="0"/>
          <w:numId w:val="2"/>
        </w:numPr>
        <w:spacing w:after="40" w:before="40"/>
      </w:pPr>
      <w:r>
        <w:rPr>
          <w:rFonts w:ascii="Arial" w:cs="Arial" w:eastAsia="Arial" w:hAnsi="Arial"/>
          <w:color w:val="444444"/>
          <w:sz w:val="22"/>
          <w:szCs w:val="22"/>
        </w:rPr>
        <w:t xml:space="preserve">PAY_2: r = +0.261, PAY_3: r = +0.235 (cascading delay effect)</w:t>
      </w:r>
    </w:p>
    <w:p>
      <w:pPr>
        <w:pStyle w:val="ListParagraph"/>
        <w:numPr>
          <w:ilvl w:val="0"/>
          <w:numId w:val="2"/>
        </w:numPr>
        <w:spacing w:after="40" w:before="40"/>
      </w:pPr>
      <w:r>
        <w:rPr>
          <w:rFonts w:ascii="Arial" w:cs="Arial" w:eastAsia="Arial" w:hAnsi="Arial"/>
          <w:color w:val="444444"/>
          <w:sz w:val="22"/>
          <w:szCs w:val="22"/>
        </w:rPr>
        <w:t xml:space="preserve">LIMIT_BAL: r = -0.154 (higher limit = lower default probability)</w:t>
      </w:r>
    </w:p>
    <w:p>
      <w:pPr>
        <w:pStyle w:val="ListParagraph"/>
        <w:numPr>
          <w:ilvl w:val="0"/>
          <w:numId w:val="2"/>
        </w:numPr>
        <w:spacing w:after="40" w:before="40"/>
      </w:pPr>
      <w:r>
        <w:rPr>
          <w:rFonts w:ascii="Arial" w:cs="Arial" w:eastAsia="Arial" w:hAnsi="Arial"/>
          <w:color w:val="444444"/>
          <w:sz w:val="22"/>
          <w:szCs w:val="22"/>
        </w:rPr>
        <w:t xml:space="preserve">PAY_AMT1: r = -0.073 (higher payment = lower default probability)</w:t>
      </w:r>
    </w:p>
    <w:p>
      <w:pPr>
        <w:pStyle w:val="ListParagraph"/>
        <w:numPr>
          <w:ilvl w:val="0"/>
          <w:numId w:val="2"/>
        </w:numPr>
        <w:spacing w:after="40" w:before="40"/>
      </w:pPr>
      <w:r>
        <w:rPr>
          <w:rFonts w:ascii="Arial" w:cs="Arial" w:eastAsia="Arial" w:hAnsi="Arial"/>
          <w:color w:val="444444"/>
          <w:sz w:val="22"/>
          <w:szCs w:val="22"/>
        </w:rPr>
        <w:t xml:space="preserve">AGE: r = -0.013 (negligible correlation)</w:t>
      </w:r>
    </w:p>
    <w:p>
      <w:r>
        <w:br/>
      </w:r>
    </w:p>
    <w:p>
      <w:pPr>
        <w:pStyle w:val="Heading1"/>
        <w:pBdr>
          <w:bottom w:val="single" w:color="2E75B6" w:sz="6" w:space="1"/>
        </w:pBdr>
        <w:spacing w:after="160" w:before="400"/>
      </w:pPr>
      <w:r>
        <w:rPr>
          <w:rFonts w:ascii="Arial" w:cs="Arial" w:eastAsia="Arial" w:hAnsi="Arial"/>
          <w:b/>
          <w:bCs/>
          <w:color w:val="1F3864"/>
        </w:rPr>
        <w:t xml:space="preserve">8. Model Deployment — NEXUS Credit Intelligence</w:t>
      </w:r>
    </w:p>
    <w:p>
      <w:pPr>
        <w:pStyle w:val="Heading2"/>
        <w:spacing w:after="120" w:before="280"/>
      </w:pPr>
      <w:r>
        <w:rPr>
          <w:rFonts w:ascii="Arial" w:cs="Arial" w:eastAsia="Arial" w:hAnsi="Arial"/>
          <w:b/>
          <w:bCs/>
          <w:color w:val="4472C4"/>
        </w:rPr>
        <w:t xml:space="preserve">8.1 Deployment Architecture</w:t>
      </w:r>
    </w:p>
    <w:p>
      <w:pPr>
        <w:spacing w:after="100" w:before="80"/>
        <w:jc w:val="both"/>
      </w:pPr>
      <w:r>
        <w:rPr>
          <w:rFonts w:ascii="Arial" w:cs="Arial" w:eastAsia="Arial" w:hAnsi="Arial"/>
          <w:b w:val="false"/>
          <w:bCs w:val="false"/>
          <w:color w:val="444444"/>
          <w:sz w:val="22"/>
          <w:szCs w:val="22"/>
        </w:rPr>
        <w:t xml:space="preserve">The best-performing model (Gradient Boosting, optimized for deployment size) was serialized and deployed as a professional web application using the Streamlit framework. The deployment architecture is as follows:</w:t>
      </w:r>
    </w:p>
    <w:p>
      <w:pPr>
        <w:pStyle w:val="ListParagraph"/>
        <w:numPr>
          <w:ilvl w:val="0"/>
          <w:numId w:val="2"/>
        </w:numPr>
        <w:spacing w:after="40" w:before="40"/>
      </w:pPr>
      <w:r>
        <w:rPr>
          <w:rFonts w:ascii="Arial" w:cs="Arial" w:eastAsia="Arial" w:hAnsi="Arial"/>
          <w:color w:val="444444"/>
          <w:sz w:val="22"/>
          <w:szCs w:val="22"/>
        </w:rPr>
        <w:t xml:space="preserve">Model Serialization: joblib.dump() with compress=9 — model.pkl = 30 KB (GitHub-compatible)</w:t>
      </w:r>
    </w:p>
    <w:p>
      <w:pPr>
        <w:pStyle w:val="ListParagraph"/>
        <w:numPr>
          <w:ilvl w:val="0"/>
          <w:numId w:val="2"/>
        </w:numPr>
        <w:spacing w:after="40" w:before="40"/>
      </w:pPr>
      <w:r>
        <w:rPr>
          <w:rFonts w:ascii="Arial" w:cs="Arial" w:eastAsia="Arial" w:hAnsi="Arial"/>
          <w:color w:val="444444"/>
          <w:sz w:val="22"/>
          <w:szCs w:val="22"/>
        </w:rPr>
        <w:t xml:space="preserve">Scaler Serialization: StandardScaler saved as scaler.pkl — 1.2 KB</w:t>
      </w:r>
    </w:p>
    <w:p>
      <w:pPr>
        <w:pStyle w:val="ListParagraph"/>
        <w:numPr>
          <w:ilvl w:val="0"/>
          <w:numId w:val="2"/>
        </w:numPr>
        <w:spacing w:after="40" w:before="40"/>
      </w:pPr>
      <w:r>
        <w:rPr>
          <w:rFonts w:ascii="Arial" w:cs="Arial" w:eastAsia="Arial" w:hAnsi="Arial"/>
          <w:color w:val="444444"/>
          <w:sz w:val="22"/>
          <w:szCs w:val="22"/>
        </w:rPr>
        <w:t xml:space="preserve">Metadata: meta.json stores feature names, model name, and evaluation metrics</w:t>
      </w:r>
    </w:p>
    <w:p>
      <w:pPr>
        <w:pStyle w:val="ListParagraph"/>
        <w:numPr>
          <w:ilvl w:val="0"/>
          <w:numId w:val="2"/>
        </w:numPr>
        <w:spacing w:after="40" w:before="40"/>
      </w:pPr>
      <w:r>
        <w:rPr>
          <w:rFonts w:ascii="Arial" w:cs="Arial" w:eastAsia="Arial" w:hAnsi="Arial"/>
          <w:color w:val="444444"/>
          <w:sz w:val="22"/>
          <w:szCs w:val="22"/>
        </w:rPr>
        <w:t xml:space="preserve">Web Framework: Streamlit v1.35+ with custom CSS dark theme</w:t>
      </w:r>
    </w:p>
    <w:p>
      <w:pPr>
        <w:pStyle w:val="ListParagraph"/>
        <w:numPr>
          <w:ilvl w:val="0"/>
          <w:numId w:val="2"/>
        </w:numPr>
        <w:spacing w:after="40" w:before="40"/>
      </w:pPr>
      <w:r>
        <w:rPr>
          <w:rFonts w:ascii="Arial" w:cs="Arial" w:eastAsia="Arial" w:hAnsi="Arial"/>
          <w:color w:val="444444"/>
          <w:sz w:val="22"/>
          <w:szCs w:val="22"/>
        </w:rPr>
        <w:t xml:space="preserve">Visualization: Plotly for interactive charts — gauge charts, bar charts, radar plots</w:t>
      </w:r>
    </w:p>
    <w:p>
      <w:pPr>
        <w:pStyle w:val="ListParagraph"/>
        <w:numPr>
          <w:ilvl w:val="0"/>
          <w:numId w:val="2"/>
        </w:numPr>
        <w:spacing w:after="40" w:before="40"/>
      </w:pPr>
      <w:r>
        <w:rPr>
          <w:rFonts w:ascii="Arial" w:cs="Arial" w:eastAsia="Arial" w:hAnsi="Arial"/>
          <w:color w:val="444444"/>
          <w:sz w:val="22"/>
          <w:szCs w:val="22"/>
        </w:rPr>
        <w:t xml:space="preserve">Hosting: Streamlit Community Cloud (free tier)</w:t>
      </w:r>
    </w:p>
    <w:p>
      <w:pPr>
        <w:pStyle w:val="ListParagraph"/>
        <w:numPr>
          <w:ilvl w:val="0"/>
          <w:numId w:val="2"/>
        </w:numPr>
        <w:spacing w:after="40" w:before="40"/>
      </w:pPr>
      <w:r>
        <w:rPr>
          <w:rFonts w:ascii="Arial" w:cs="Arial" w:eastAsia="Arial" w:hAnsi="Arial"/>
          <w:color w:val="444444"/>
          <w:sz w:val="22"/>
          <w:szCs w:val="22"/>
        </w:rPr>
        <w:t xml:space="preserve">Version Control: GitHub repository (public)</w:t>
      </w:r>
    </w:p>
    <w:p>
      <w:pPr>
        <w:pStyle w:val="Heading2"/>
        <w:spacing w:after="120" w:before="280"/>
      </w:pPr>
      <w:r>
        <w:rPr>
          <w:rFonts w:ascii="Arial" w:cs="Arial" w:eastAsia="Arial" w:hAnsi="Arial"/>
          <w:b/>
          <w:bCs/>
          <w:color w:val="4472C4"/>
        </w:rPr>
        <w:t xml:space="preserve">8.2 Application Features</w:t>
      </w:r>
    </w:p>
    <w:p>
      <w:pPr>
        <w:spacing w:after="100" w:before="80"/>
        <w:jc w:val="both"/>
      </w:pPr>
      <w:r>
        <w:rPr>
          <w:rFonts w:ascii="Arial" w:cs="Arial" w:eastAsia="Arial" w:hAnsi="Arial"/>
          <w:b w:val="false"/>
          <w:bCs w:val="false"/>
          <w:color w:val="444444"/>
          <w:sz w:val="22"/>
          <w:szCs w:val="22"/>
        </w:rPr>
        <w:t xml:space="preserve">The deployed application — named NEXUS Credit Intelligence — provides four interactive pages:</w:t>
      </w:r>
    </w:p>
    <w:p>
      <w:pPr>
        <w:pStyle w:val="Heading3"/>
        <w:spacing w:after="80" w:before="200"/>
      </w:pPr>
      <w:r>
        <w:rPr>
          <w:rFonts w:ascii="Arial" w:cs="Arial" w:eastAsia="Arial" w:hAnsi="Arial"/>
          <w:b/>
          <w:bCs/>
          <w:color w:val="555555"/>
        </w:rPr>
        <w:t xml:space="preserve">Page 1: Risk Assessment Console</w:t>
      </w:r>
    </w:p>
    <w:p>
      <w:pPr>
        <w:pStyle w:val="ListParagraph"/>
        <w:numPr>
          <w:ilvl w:val="0"/>
          <w:numId w:val="2"/>
        </w:numPr>
        <w:spacing w:after="40" w:before="40"/>
      </w:pPr>
      <w:r>
        <w:rPr>
          <w:rFonts w:ascii="Arial" w:cs="Arial" w:eastAsia="Arial" w:hAnsi="Arial"/>
          <w:color w:val="444444"/>
          <w:sz w:val="22"/>
          <w:szCs w:val="22"/>
        </w:rPr>
        <w:t xml:space="preserve">Input form covering all 23 features grouped into 4 logical sections: Client Profile, Repayment History (6 months), Bill Statements (6 months), Previous Payments (6 months)</w:t>
      </w:r>
    </w:p>
    <w:p>
      <w:pPr>
        <w:pStyle w:val="ListParagraph"/>
        <w:numPr>
          <w:ilvl w:val="0"/>
          <w:numId w:val="2"/>
        </w:numPr>
        <w:spacing w:after="40" w:before="40"/>
      </w:pPr>
      <w:r>
        <w:rPr>
          <w:rFonts w:ascii="Arial" w:cs="Arial" w:eastAsia="Arial" w:hAnsi="Arial"/>
          <w:color w:val="444444"/>
          <w:sz w:val="22"/>
          <w:szCs w:val="22"/>
        </w:rPr>
        <w:t xml:space="preserve">Real-time prediction with default probability score</w:t>
      </w:r>
    </w:p>
    <w:p>
      <w:pPr>
        <w:pStyle w:val="ListParagraph"/>
        <w:numPr>
          <w:ilvl w:val="0"/>
          <w:numId w:val="2"/>
        </w:numPr>
        <w:spacing w:after="40" w:before="40"/>
      </w:pPr>
      <w:r>
        <w:rPr>
          <w:rFonts w:ascii="Arial" w:cs="Arial" w:eastAsia="Arial" w:hAnsi="Arial"/>
          <w:color w:val="444444"/>
          <w:sz w:val="22"/>
          <w:szCs w:val="22"/>
        </w:rPr>
        <w:t xml:space="preserve">Interactive gauge chart showing risk level (0-100%)</w:t>
      </w:r>
    </w:p>
    <w:p>
      <w:pPr>
        <w:pStyle w:val="ListParagraph"/>
        <w:numPr>
          <w:ilvl w:val="0"/>
          <w:numId w:val="2"/>
        </w:numPr>
        <w:spacing w:after="40" w:before="40"/>
      </w:pPr>
      <w:r>
        <w:rPr>
          <w:rFonts w:ascii="Arial" w:cs="Arial" w:eastAsia="Arial" w:hAnsi="Arial"/>
          <w:color w:val="444444"/>
          <w:sz w:val="22"/>
          <w:szCs w:val="22"/>
        </w:rPr>
        <w:t xml:space="preserve">Probability breakdown bar chart (Safe vs Default split)</w:t>
      </w:r>
    </w:p>
    <w:p>
      <w:pPr>
        <w:pStyle w:val="ListParagraph"/>
        <w:numPr>
          <w:ilvl w:val="0"/>
          <w:numId w:val="2"/>
        </w:numPr>
        <w:spacing w:after="40" w:before="40"/>
      </w:pPr>
      <w:r>
        <w:rPr>
          <w:rFonts w:ascii="Arial" w:cs="Arial" w:eastAsia="Arial" w:hAnsi="Arial"/>
          <w:color w:val="444444"/>
          <w:sz w:val="22"/>
          <w:szCs w:val="22"/>
        </w:rPr>
        <w:t xml:space="preserve">Risk factor breakdown table with colour-coded badges (LOW/MEDIUM/HIGH)</w:t>
      </w:r>
    </w:p>
    <w:p>
      <w:pPr>
        <w:pStyle w:val="ListParagraph"/>
        <w:numPr>
          <w:ilvl w:val="0"/>
          <w:numId w:val="2"/>
        </w:numPr>
        <w:spacing w:after="40" w:before="40"/>
      </w:pPr>
      <w:r>
        <w:rPr>
          <w:rFonts w:ascii="Arial" w:cs="Arial" w:eastAsia="Arial" w:hAnsi="Arial"/>
          <w:color w:val="444444"/>
          <w:sz w:val="22"/>
          <w:szCs w:val="22"/>
        </w:rPr>
        <w:t xml:space="preserve">Automated analyst recommendations based on prediction outcome</w:t>
      </w:r>
    </w:p>
    <w:p>
      <w:pPr>
        <w:pStyle w:val="Heading3"/>
        <w:spacing w:after="80" w:before="200"/>
      </w:pPr>
      <w:r>
        <w:rPr>
          <w:rFonts w:ascii="Arial" w:cs="Arial" w:eastAsia="Arial" w:hAnsi="Arial"/>
          <w:b/>
          <w:bCs/>
          <w:color w:val="555555"/>
        </w:rPr>
        <w:t xml:space="preserve">Page 2: Analytics Hub</w:t>
      </w:r>
    </w:p>
    <w:p>
      <w:pPr>
        <w:pStyle w:val="ListParagraph"/>
        <w:numPr>
          <w:ilvl w:val="0"/>
          <w:numId w:val="2"/>
        </w:numPr>
        <w:spacing w:after="40" w:before="40"/>
      </w:pPr>
      <w:r>
        <w:rPr>
          <w:rFonts w:ascii="Arial" w:cs="Arial" w:eastAsia="Arial" w:hAnsi="Arial"/>
          <w:color w:val="444444"/>
          <w:sz w:val="22"/>
          <w:szCs w:val="22"/>
        </w:rPr>
        <w:t xml:space="preserve">Dataset overview KPI cards (Total records, Default rate, Safe rate, Feature count)</w:t>
      </w:r>
    </w:p>
    <w:p>
      <w:pPr>
        <w:pStyle w:val="ListParagraph"/>
        <w:numPr>
          <w:ilvl w:val="0"/>
          <w:numId w:val="2"/>
        </w:numPr>
        <w:spacing w:after="40" w:before="40"/>
      </w:pPr>
      <w:r>
        <w:rPr>
          <w:rFonts w:ascii="Arial" w:cs="Arial" w:eastAsia="Arial" w:hAnsi="Arial"/>
          <w:color w:val="444444"/>
          <w:sz w:val="22"/>
          <w:szCs w:val="22"/>
        </w:rPr>
        <w:t xml:space="preserve">Interactive tabs: Class Distribution, Credit Behaviour, Payment Patterns, Correlations</w:t>
      </w:r>
    </w:p>
    <w:p>
      <w:pPr>
        <w:pStyle w:val="ListParagraph"/>
        <w:numPr>
          <w:ilvl w:val="0"/>
          <w:numId w:val="2"/>
        </w:numPr>
        <w:spacing w:after="40" w:before="40"/>
      </w:pPr>
      <w:r>
        <w:rPr>
          <w:rFonts w:ascii="Arial" w:cs="Arial" w:eastAsia="Arial" w:hAnsi="Arial"/>
          <w:color w:val="444444"/>
          <w:sz w:val="22"/>
          <w:szCs w:val="22"/>
        </w:rPr>
        <w:t xml:space="preserve">SMOTE before/after comparison charts</w:t>
      </w:r>
    </w:p>
    <w:p>
      <w:pPr>
        <w:pStyle w:val="Heading3"/>
        <w:spacing w:after="80" w:before="200"/>
      </w:pPr>
      <w:r>
        <w:rPr>
          <w:rFonts w:ascii="Arial" w:cs="Arial" w:eastAsia="Arial" w:hAnsi="Arial"/>
          <w:b/>
          <w:bCs/>
          <w:color w:val="555555"/>
        </w:rPr>
        <w:t xml:space="preserve">Page 3: Model Intelligence</w:t>
      </w:r>
    </w:p>
    <w:p>
      <w:pPr>
        <w:pStyle w:val="ListParagraph"/>
        <w:numPr>
          <w:ilvl w:val="0"/>
          <w:numId w:val="2"/>
        </w:numPr>
        <w:spacing w:after="40" w:before="40"/>
      </w:pPr>
      <w:r>
        <w:rPr>
          <w:rFonts w:ascii="Arial" w:cs="Arial" w:eastAsia="Arial" w:hAnsi="Arial"/>
          <w:color w:val="444444"/>
          <w:sz w:val="22"/>
          <w:szCs w:val="22"/>
        </w:rPr>
        <w:t xml:space="preserve">Full model comparison leaderboard with all four models ranked</w:t>
      </w:r>
    </w:p>
    <w:p>
      <w:pPr>
        <w:pStyle w:val="ListParagraph"/>
        <w:numPr>
          <w:ilvl w:val="0"/>
          <w:numId w:val="2"/>
        </w:numPr>
        <w:spacing w:after="40" w:before="40"/>
      </w:pPr>
      <w:r>
        <w:rPr>
          <w:rFonts w:ascii="Arial" w:cs="Arial" w:eastAsia="Arial" w:hAnsi="Arial"/>
          <w:color w:val="444444"/>
          <w:sz w:val="22"/>
          <w:szCs w:val="22"/>
        </w:rPr>
        <w:t xml:space="preserve">Multi-metric radar chart for visual performance comparison</w:t>
      </w:r>
    </w:p>
    <w:p>
      <w:pPr>
        <w:pStyle w:val="ListParagraph"/>
        <w:numPr>
          <w:ilvl w:val="0"/>
          <w:numId w:val="2"/>
        </w:numPr>
        <w:spacing w:after="40" w:before="40"/>
      </w:pPr>
      <w:r>
        <w:rPr>
          <w:rFonts w:ascii="Arial" w:cs="Arial" w:eastAsia="Arial" w:hAnsi="Arial"/>
          <w:color w:val="444444"/>
          <w:sz w:val="22"/>
          <w:szCs w:val="22"/>
        </w:rPr>
        <w:t xml:space="preserve">Feature importance horizontal bar chart with colour gradient</w:t>
      </w:r>
    </w:p>
    <w:p>
      <w:pPr>
        <w:pStyle w:val="Heading3"/>
        <w:spacing w:after="80" w:before="200"/>
      </w:pPr>
      <w:r>
        <w:rPr>
          <w:rFonts w:ascii="Arial" w:cs="Arial" w:eastAsia="Arial" w:hAnsi="Arial"/>
          <w:b/>
          <w:bCs/>
          <w:color w:val="555555"/>
        </w:rPr>
        <w:t xml:space="preserve">Page 4: Data Reference</w:t>
      </w:r>
    </w:p>
    <w:p>
      <w:pPr>
        <w:pStyle w:val="ListParagraph"/>
        <w:numPr>
          <w:ilvl w:val="0"/>
          <w:numId w:val="2"/>
        </w:numPr>
        <w:spacing w:after="40" w:before="40"/>
      </w:pPr>
      <w:r>
        <w:rPr>
          <w:rFonts w:ascii="Arial" w:cs="Arial" w:eastAsia="Arial" w:hAnsi="Arial"/>
          <w:color w:val="444444"/>
          <w:sz w:val="22"/>
          <w:szCs w:val="22"/>
        </w:rPr>
        <w:t xml:space="preserve">Complete dataset schema with feature types and importance ratings</w:t>
      </w:r>
    </w:p>
    <w:p>
      <w:pPr>
        <w:pStyle w:val="ListParagraph"/>
        <w:numPr>
          <w:ilvl w:val="0"/>
          <w:numId w:val="2"/>
        </w:numPr>
        <w:spacing w:after="40" w:before="40"/>
      </w:pPr>
      <w:r>
        <w:rPr>
          <w:rFonts w:ascii="Arial" w:cs="Arial" w:eastAsia="Arial" w:hAnsi="Arial"/>
          <w:color w:val="444444"/>
          <w:sz w:val="22"/>
          <w:szCs w:val="22"/>
        </w:rPr>
        <w:t xml:space="preserve">11-step pipeline architecture diagram</w:t>
      </w:r>
    </w:p>
    <w:p>
      <w:pPr>
        <w:pStyle w:val="ListParagraph"/>
        <w:numPr>
          <w:ilvl w:val="0"/>
          <w:numId w:val="2"/>
        </w:numPr>
        <w:spacing w:after="40" w:before="40"/>
      </w:pPr>
      <w:r>
        <w:rPr>
          <w:rFonts w:ascii="Arial" w:cs="Arial" w:eastAsia="Arial" w:hAnsi="Arial"/>
          <w:color w:val="444444"/>
          <w:sz w:val="22"/>
          <w:szCs w:val="22"/>
        </w:rPr>
        <w:t xml:space="preserve">Repayment status code reference table</w:t>
      </w:r>
    </w:p>
    <w:p>
      <w:pPr>
        <w:pStyle w:val="Heading2"/>
        <w:spacing w:after="120" w:before="280"/>
      </w:pPr>
      <w:r>
        <w:rPr>
          <w:rFonts w:ascii="Arial" w:cs="Arial" w:eastAsia="Arial" w:hAnsi="Arial"/>
          <w:b/>
          <w:bCs/>
          <w:color w:val="4472C4"/>
        </w:rPr>
        <w:t xml:space="preserve">8.3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ML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scikit-learn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Model training, preprocessing, evaluation</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Imbalance Handling</w:t>
            </w:r>
          </w:p>
        </w:tc>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imbalanced-learn (SMOTE)</w:t>
            </w:r>
          </w:p>
        </w:tc>
        <w:tc>
          <w:tcPr>
            <w:tcW w:type="dxa" w:w="45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Synthetic oversampling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Web App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Streamlit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Interactive user interface</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Visualization</w:t>
            </w:r>
          </w:p>
        </w:tc>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Plotly</w:t>
            </w:r>
          </w:p>
        </w:tc>
        <w:tc>
          <w:tcPr>
            <w:tcW w:type="dxa" w:w="45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Interactive charts and gauges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Data Processing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Pandas, NumPy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Data manipulation</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Serialization</w:t>
            </w:r>
          </w:p>
        </w:tc>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joblib</w:t>
            </w:r>
          </w:p>
        </w:tc>
        <w:tc>
          <w:tcPr>
            <w:tcW w:type="dxa" w:w="45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Model and scaler persistence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Version Control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GitHub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Code and model hosting</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Deployment</w:t>
            </w:r>
          </w:p>
        </w:tc>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Streamlit Cloud</w:t>
            </w:r>
          </w:p>
        </w:tc>
        <w:tc>
          <w:tcPr>
            <w:tcW w:type="dxa" w:w="45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Free public hosting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Python 3.x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Primary programming language</w:t>
            </w:r>
          </w:p>
        </w:tc>
      </w:tr>
    </w:tbl>
    <w:p>
      <w:r>
        <w:br/>
      </w:r>
    </w:p>
    <w:p>
      <w:pPr>
        <w:pStyle w:val="Heading1"/>
        <w:pBdr>
          <w:bottom w:val="single" w:color="2E75B6" w:sz="6" w:space="1"/>
        </w:pBdr>
        <w:spacing w:after="160" w:before="400"/>
      </w:pPr>
      <w:r>
        <w:rPr>
          <w:rFonts w:ascii="Arial" w:cs="Arial" w:eastAsia="Arial" w:hAnsi="Arial"/>
          <w:b/>
          <w:bCs/>
          <w:color w:val="1F3864"/>
        </w:rPr>
        <w:t xml:space="preserve">9. Project Milestones and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700"/>
        <w:gridCol w:w="13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4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Tasks Completed</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Define Problem</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Business problem identification, credit risk context research, objective setting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 Complete</w:t>
            </w:r>
          </w:p>
        </w:tc>
      </w:tr>
      <w:tr>
        <w:tc>
          <w:tcPr>
            <w:tcW w:type="dxa" w:w="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2</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Understand Business Problem</w:t>
            </w:r>
          </w:p>
        </w:tc>
        <w:tc>
          <w:tcPr>
            <w:tcW w:type="dxa" w:w="47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Literature review, domain understanding, KPI definition, success criteria</w:t>
            </w:r>
          </w:p>
        </w:tc>
        <w:tc>
          <w:tcPr>
            <w:tcW w:type="dxa" w:w="13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 Complete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Get the Data</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Dataset sourced from UCI ML Repository, CSV loaded into Python, basic validation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 Complete</w:t>
            </w:r>
          </w:p>
        </w:tc>
      </w:tr>
      <w:tr>
        <w:tc>
          <w:tcPr>
            <w:tcW w:type="dxa" w:w="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4</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Explore &amp; Pre-process Data</w:t>
            </w:r>
          </w:p>
        </w:tc>
        <w:tc>
          <w:tcPr>
            <w:tcW w:type="dxa" w:w="47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Missing value check, duplicate check, class distribution, boxplot analysis, anomaly correction</w:t>
            </w:r>
          </w:p>
        </w:tc>
        <w:tc>
          <w:tcPr>
            <w:tcW w:type="dxa" w:w="13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 Complete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Choose Python Platform</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Jupyter Notebook (development) + VS Code (deployment) + Anaconda environment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 Complete</w:t>
            </w:r>
          </w:p>
        </w:tc>
      </w:tr>
      <w:tr>
        <w:tc>
          <w:tcPr>
            <w:tcW w:type="dxa" w:w="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6</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Create Features</w:t>
            </w:r>
          </w:p>
        </w:tc>
        <w:tc>
          <w:tcPr>
            <w:tcW w:type="dxa" w:w="47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BILL_TOTAL, PAY_TOTAL engineered; log1p transformation on skewed columns</w:t>
            </w:r>
          </w:p>
        </w:tc>
        <w:tc>
          <w:tcPr>
            <w:tcW w:type="dxa" w:w="13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 Complete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EDA</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Countplot, histograms, boxplots, correlation heatmap, skewness analysis, trend plots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 Complete</w:t>
            </w:r>
          </w:p>
        </w:tc>
      </w:tr>
      <w:tr>
        <w:tc>
          <w:tcPr>
            <w:tcW w:type="dxa" w:w="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8</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Create Model</w:t>
            </w:r>
          </w:p>
        </w:tc>
        <w:tc>
          <w:tcPr>
            <w:tcW w:type="dxa" w:w="47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8 models: LR, DT, RF, KNN, SVM, NB, XGBoost, ANN — all trained and evaluated</w:t>
            </w:r>
          </w:p>
        </w:tc>
        <w:tc>
          <w:tcPr>
            <w:tcW w:type="dxa" w:w="13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 Complete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Model Evaluation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Accuracy, Precision, Recall, F1, ROC-AUC computed; GridSearchCV hyperparameter tuning</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 Complete</w:t>
            </w:r>
          </w:p>
        </w:tc>
      </w:tr>
      <w:tr>
        <w:tc>
          <w:tcPr>
            <w:tcW w:type="dxa" w:w="5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10</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Report Writing</w:t>
            </w:r>
          </w:p>
        </w:tc>
        <w:tc>
          <w:tcPr>
            <w:tcW w:type="dxa" w:w="47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This 15-page Model Development Document</w:t>
            </w:r>
          </w:p>
        </w:tc>
        <w:tc>
          <w:tcPr>
            <w:tcW w:type="dxa" w:w="13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 Complete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Project Submission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GitHub repository + Streamlit Cloud deployment + MDD document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 Complete</w:t>
            </w:r>
          </w:p>
        </w:tc>
      </w:tr>
    </w:tbl>
    <w:p>
      <w:r>
        <w:br/>
      </w:r>
    </w:p>
    <w:p>
      <w:pPr>
        <w:pStyle w:val="Heading1"/>
        <w:pBdr>
          <w:bottom w:val="single" w:color="2E75B6" w:sz="6" w:space="1"/>
        </w:pBdr>
        <w:spacing w:after="160" w:before="400"/>
      </w:pPr>
      <w:r>
        <w:rPr>
          <w:rFonts w:ascii="Arial" w:cs="Arial" w:eastAsia="Arial" w:hAnsi="Arial"/>
          <w:b/>
          <w:bCs/>
          <w:color w:val="1F3864"/>
        </w:rPr>
        <w:t xml:space="preserve">10. Resources</w:t>
      </w:r>
    </w:p>
    <w:p>
      <w:pPr>
        <w:pStyle w:val="Heading2"/>
        <w:spacing w:after="120" w:before="280"/>
      </w:pPr>
      <w:r>
        <w:rPr>
          <w:rFonts w:ascii="Arial" w:cs="Arial" w:eastAsia="Arial" w:hAnsi="Arial"/>
          <w:b/>
          <w:bCs/>
          <w:color w:val="4472C4"/>
        </w:rPr>
        <w:t xml:space="preserve">10.1 Dataset Source</w:t>
      </w:r>
    </w:p>
    <w:p>
      <w:pPr>
        <w:spacing w:after="100" w:before="80"/>
        <w:jc w:val="both"/>
      </w:pPr>
      <w:r>
        <w:rPr>
          <w:rFonts w:ascii="Arial" w:cs="Arial" w:eastAsia="Arial" w:hAnsi="Arial"/>
          <w:b w:val="false"/>
          <w:bCs w:val="false"/>
          <w:color w:val="444444"/>
          <w:sz w:val="22"/>
          <w:szCs w:val="22"/>
        </w:rPr>
        <w:t xml:space="preserve">Yeh, I. C., &amp; Lien, C. H. (2009). The comparisons of data mining techniques for the predictive accuracy of probability of default of credit card clients. Expert Systems with Applications, 36(2), 2473-2480.</w:t>
      </w:r>
    </w:p>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Dataset URL</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https://archive.ics.uci.edu/ml/datasets/default+of+credit+card+clients</w:t>
            </w:r>
          </w:p>
        </w:tc>
      </w:tr>
    </w:tbl>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Original Paper</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444444"/>
                <w:sz w:val="20"/>
                <w:szCs w:val="20"/>
              </w:rPr>
              <w:t xml:space="preserve">Expert Systems with Applications, Vol. 36, Issue 2, 2009</w:t>
            </w:r>
          </w:p>
        </w:tc>
      </w:tr>
    </w:tbl>
    <w:p/>
    <w:p>
      <w:pPr>
        <w:pStyle w:val="Heading2"/>
        <w:spacing w:after="120" w:before="280"/>
      </w:pPr>
      <w:r>
        <w:rPr>
          <w:rFonts w:ascii="Arial" w:cs="Arial" w:eastAsia="Arial" w:hAnsi="Arial"/>
          <w:b/>
          <w:bCs/>
          <w:color w:val="4472C4"/>
        </w:rPr>
        <w:t xml:space="preserve">10.2 Software and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Library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Python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3.13.5</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Primary programming language</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pandas</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2.x</w:t>
            </w:r>
          </w:p>
        </w:tc>
        <w:tc>
          <w:tcPr>
            <w:tcW w:type="dxa" w:w="5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Data loading, manipulation, and analysis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NumPy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1.x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Numerical operations and array processing</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matplotlib</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3.x</w:t>
            </w:r>
          </w:p>
        </w:tc>
        <w:tc>
          <w:tcPr>
            <w:tcW w:type="dxa" w:w="5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Base visualization library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seaborn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Statistical visualization (countplot, boxplot, heatmap)</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scikit-learn</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1.x</w:t>
            </w:r>
          </w:p>
        </w:tc>
        <w:tc>
          <w:tcPr>
            <w:tcW w:type="dxa" w:w="5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ML models, preprocessing, GridSearchCV, metrics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imbalanced-learn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SMOTE oversampling for class imbalance</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TensorFlow / Keras</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2.21.0</w:t>
            </w:r>
          </w:p>
        </w:tc>
        <w:tc>
          <w:tcPr>
            <w:tcW w:type="dxa" w:w="5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Artificial Neural Network 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XGBoost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Extreme Gradient Boosting classifier</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Streamlit</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1.x</w:t>
            </w:r>
          </w:p>
        </w:tc>
        <w:tc>
          <w:tcPr>
            <w:tcW w:type="dxa" w:w="5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Web application framework for deployment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Plotly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5.x / 6.x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Interactive visualization (gauge, radar, bar charts)</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joblib</w:t>
            </w:r>
          </w:p>
        </w:tc>
        <w:tc>
          <w:tcPr>
            <w:tcW w:type="dxa" w:w="1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1.x</w:t>
            </w:r>
          </w:p>
        </w:tc>
        <w:tc>
          <w:tcPr>
            <w:tcW w:type="dxa" w:w="5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Model serialization and loading</w:t>
            </w:r>
          </w:p>
        </w:tc>
      </w:tr>
    </w:tbl>
    <w:p/>
    <w:p>
      <w:pPr>
        <w:pStyle w:val="Heading2"/>
        <w:spacing w:after="120" w:before="280"/>
      </w:pPr>
      <w:r>
        <w:rPr>
          <w:rFonts w:ascii="Arial" w:cs="Arial" w:eastAsia="Arial" w:hAnsi="Arial"/>
          <w:b/>
          <w:bCs/>
          <w:color w:val="4472C4"/>
        </w:rPr>
        <w:t xml:space="preserve">10.3 References</w:t>
      </w:r>
    </w:p>
    <w:p>
      <w:pPr>
        <w:pStyle w:val="ListParagraph"/>
        <w:numPr>
          <w:ilvl w:val="0"/>
          <w:numId w:val="3"/>
        </w:numPr>
        <w:spacing w:after="40" w:before="40"/>
      </w:pPr>
      <w:r>
        <w:rPr>
          <w:rFonts w:ascii="Arial" w:cs="Arial" w:eastAsia="Arial" w:hAnsi="Arial"/>
          <w:color w:val="444444"/>
          <w:sz w:val="22"/>
          <w:szCs w:val="22"/>
        </w:rPr>
        <w:t xml:space="preserve">Yeh, I.C., &amp; Lien, C.H. (2009). The comparisons of data mining techniques for the predictive accuracy of probability of default of credit card clients. Expert Systems with Applications, 36(2), 2473-2480.</w:t>
      </w:r>
    </w:p>
    <w:p>
      <w:pPr>
        <w:pStyle w:val="ListParagraph"/>
        <w:numPr>
          <w:ilvl w:val="0"/>
          <w:numId w:val="3"/>
        </w:numPr>
        <w:spacing w:after="40" w:before="40"/>
      </w:pPr>
      <w:r>
        <w:rPr>
          <w:rFonts w:ascii="Arial" w:cs="Arial" w:eastAsia="Arial" w:hAnsi="Arial"/>
          <w:color w:val="444444"/>
          <w:sz w:val="22"/>
          <w:szCs w:val="22"/>
        </w:rPr>
        <w:t xml:space="preserve">Chawla, N. V., Bowyer, K. W., Hall, L. O., &amp; Kegelmeyer, W. P. (2002). SMOTE: Synthetic minority over-sampling technique. Journal of Artificial Intelligence Research, 16, 321-357.</w:t>
      </w:r>
    </w:p>
    <w:p>
      <w:pPr>
        <w:pStyle w:val="ListParagraph"/>
        <w:numPr>
          <w:ilvl w:val="0"/>
          <w:numId w:val="3"/>
        </w:numPr>
        <w:spacing w:after="40" w:before="40"/>
      </w:pPr>
      <w:r>
        <w:rPr>
          <w:rFonts w:ascii="Arial" w:cs="Arial" w:eastAsia="Arial" w:hAnsi="Arial"/>
          <w:color w:val="444444"/>
          <w:sz w:val="22"/>
          <w:szCs w:val="22"/>
        </w:rPr>
        <w:t xml:space="preserve">Chen, T., &amp; Guestrin, C. (2016). XGBoost: A scalable tree boosting system. Proceedings of the 22nd ACM SIGKDD International Conference on Knowledge Discovery and Data Mining (pp. 785-794).</w:t>
      </w:r>
    </w:p>
    <w:p>
      <w:r>
        <w:br/>
      </w:r>
    </w:p>
    <w:p>
      <w:pPr>
        <w:pStyle w:val="Heading1"/>
        <w:pBdr>
          <w:bottom w:val="single" w:color="2E75B6" w:sz="6" w:space="1"/>
        </w:pBdr>
        <w:spacing w:after="160" w:before="400"/>
      </w:pPr>
      <w:r>
        <w:rPr>
          <w:rFonts w:ascii="Arial" w:cs="Arial" w:eastAsia="Arial" w:hAnsi="Arial"/>
          <w:b/>
          <w:bCs/>
          <w:color w:val="1F3864"/>
        </w:rPr>
        <w:t xml:space="preserve">11. Research Questions, Findings, and Observations</w:t>
      </w:r>
    </w:p>
    <w:p>
      <w:pPr>
        <w:pStyle w:val="Heading2"/>
        <w:spacing w:after="120" w:before="280"/>
      </w:pPr>
      <w:r>
        <w:rPr>
          <w:rFonts w:ascii="Arial" w:cs="Arial" w:eastAsia="Arial" w:hAnsi="Arial"/>
          <w:b/>
          <w:bCs/>
          <w:color w:val="4472C4"/>
        </w:rPr>
        <w:t xml:space="preserve">11.1 Key Questions 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Which features are most predictive of credit default?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PAY_0 (recent repayment status) is the single strongest predictor (r=0.324), followed by PAY_2, PAY_3, and LIMIT_BAL</w:t>
            </w:r>
          </w:p>
        </w:tc>
      </w:tr>
      <w:tr>
        <w:tc>
          <w:tcPr>
            <w:tcW w:type="dxa" w:w="4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Does demographic information predict default?</w:t>
            </w:r>
          </w:p>
        </w:tc>
        <w:tc>
          <w:tcPr>
            <w:tcW w:type="dxa" w:w="5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Age, gender, education, and marital status have weak predictive power individually but contribute marginally in ensemble models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How does credit utilization relate to default?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Defaulters show consistently higher bill amounts relative to their payments — the utilization gap is a strong behavioural signal</w:t>
            </w:r>
          </w:p>
        </w:tc>
      </w:tr>
      <w:tr>
        <w:tc>
          <w:tcPr>
            <w:tcW w:type="dxa" w:w="4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Which ML algorithm performs best on this dataset?</w:t>
            </w:r>
          </w:p>
        </w:tc>
        <w:tc>
          <w:tcPr>
            <w:tcW w:type="dxa" w:w="5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XGBoost achieved the highest accuracy (82.15%); with SMOTE, Random Forest achieved the best AUC (0.757)</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Does class imbalance affect model performance?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Yes significantly — all models without SMOTE show recall &lt;36% on the default class despite 80%+ accuracy</w:t>
            </w:r>
          </w:p>
        </w:tc>
      </w:tr>
      <w:tr>
        <w:tc>
          <w:tcPr>
            <w:tcW w:type="dxa" w:w="4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Can a neural network outperform classical ML?</w:t>
            </w:r>
          </w:p>
        </w:tc>
        <w:tc>
          <w:tcPr>
            <w:tcW w:type="dxa" w:w="51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ANN achieved comparable accuracy (81.72%) but did not significantly outperform XGBoost or SVM on this structured dataset</w:t>
            </w:r>
          </w:p>
        </w:tc>
      </w:tr>
    </w:tbl>
    <w:p/>
    <w:p>
      <w:pPr>
        <w:pStyle w:val="Heading2"/>
        <w:spacing w:after="120" w:before="280"/>
      </w:pPr>
      <w:r>
        <w:rPr>
          <w:rFonts w:ascii="Arial" w:cs="Arial" w:eastAsia="Arial" w:hAnsi="Arial"/>
          <w:b/>
          <w:bCs/>
          <w:color w:val="4472C4"/>
        </w:rPr>
        <w:t xml:space="preserve">11.2 Key Findings</w:t>
      </w:r>
    </w:p>
    <w:p>
      <w:pPr>
        <w:pStyle w:val="ListParagraph"/>
        <w:numPr>
          <w:ilvl w:val="0"/>
          <w:numId w:val="2"/>
        </w:numPr>
        <w:spacing w:after="40" w:before="40"/>
      </w:pPr>
      <w:r>
        <w:rPr>
          <w:rFonts w:ascii="Arial" w:cs="Arial" w:eastAsia="Arial" w:hAnsi="Arial"/>
          <w:color w:val="444444"/>
          <w:sz w:val="22"/>
          <w:szCs w:val="22"/>
        </w:rPr>
        <w:t xml:space="preserve">Payment history is everything: The cascade of delayed payments (PAY_0 through PAY_6) is by far the dominant predictor group. A customer who delays payment once is significantly more likely to default.</w:t>
      </w:r>
    </w:p>
    <w:p>
      <w:pPr>
        <w:pStyle w:val="ListParagraph"/>
        <w:numPr>
          <w:ilvl w:val="0"/>
          <w:numId w:val="2"/>
        </w:numPr>
        <w:spacing w:after="40" w:before="40"/>
      </w:pPr>
      <w:r>
        <w:rPr>
          <w:rFonts w:ascii="Arial" w:cs="Arial" w:eastAsia="Arial" w:hAnsi="Arial"/>
          <w:color w:val="444444"/>
          <w:sz w:val="22"/>
          <w:szCs w:val="22"/>
        </w:rPr>
        <w:t xml:space="preserve">Higher credit limits signal lower risk: LIMIT_BAL is negatively correlated with default, reflecting the bank's existing risk assessment embedded in the credit limit granted.</w:t>
      </w:r>
    </w:p>
    <w:p>
      <w:pPr>
        <w:pStyle w:val="ListParagraph"/>
        <w:numPr>
          <w:ilvl w:val="0"/>
          <w:numId w:val="2"/>
        </w:numPr>
        <w:spacing w:after="40" w:before="40"/>
      </w:pPr>
      <w:r>
        <w:rPr>
          <w:rFonts w:ascii="Arial" w:cs="Arial" w:eastAsia="Arial" w:hAnsi="Arial"/>
          <w:color w:val="444444"/>
          <w:sz w:val="22"/>
          <w:szCs w:val="22"/>
        </w:rPr>
        <w:t xml:space="preserve">Class imbalance is a critical challenge: Without addressing the 77.88%/22.12% split, models achieve superficially high accuracy while failing at their core task — identifying defaulters.</w:t>
      </w:r>
    </w:p>
    <w:p>
      <w:pPr>
        <w:pStyle w:val="ListParagraph"/>
        <w:numPr>
          <w:ilvl w:val="0"/>
          <w:numId w:val="2"/>
        </w:numPr>
        <w:spacing w:after="40" w:before="40"/>
      </w:pPr>
      <w:r>
        <w:rPr>
          <w:rFonts w:ascii="Arial" w:cs="Arial" w:eastAsia="Arial" w:hAnsi="Arial"/>
          <w:color w:val="444444"/>
          <w:sz w:val="22"/>
          <w:szCs w:val="22"/>
        </w:rPr>
        <w:t xml:space="preserve">Ensemble methods dominate: Random Forest and XGBoost consistently outperform linear models (LR) and simple non-parametric models (KNN, NB), confirming the non-linear nature of credit default patterns.</w:t>
      </w:r>
    </w:p>
    <w:p>
      <w:pPr>
        <w:pStyle w:val="ListParagraph"/>
        <w:numPr>
          <w:ilvl w:val="0"/>
          <w:numId w:val="2"/>
        </w:numPr>
        <w:spacing w:after="40" w:before="40"/>
      </w:pPr>
      <w:r>
        <w:rPr>
          <w:rFonts w:ascii="Arial" w:cs="Arial" w:eastAsia="Arial" w:hAnsi="Arial"/>
          <w:color w:val="444444"/>
          <w:sz w:val="22"/>
          <w:szCs w:val="22"/>
        </w:rPr>
        <w:t xml:space="preserve">Deep learning does not add value here: Despite the ANN's architectural complexity, it did not outperform XGBoost on this structured tabular dataset, consistent with established findings in the ML literature.</w:t>
      </w:r>
    </w:p>
    <w:p>
      <w:pPr>
        <w:pStyle w:val="ListParagraph"/>
        <w:numPr>
          <w:ilvl w:val="0"/>
          <w:numId w:val="2"/>
        </w:numPr>
        <w:spacing w:after="40" w:before="40"/>
      </w:pPr>
      <w:r>
        <w:rPr>
          <w:rFonts w:ascii="Arial" w:cs="Arial" w:eastAsia="Arial" w:hAnsi="Arial"/>
          <w:color w:val="444444"/>
          <w:sz w:val="22"/>
          <w:szCs w:val="22"/>
        </w:rPr>
        <w:t xml:space="preserve">Feature engineering adds value: The engineered BILL_TOTAL and PAY_TOTAL features capture cumulative financial stress that the individual monthly columns alone may not represent as efficiently.</w:t>
      </w:r>
    </w:p>
    <w:p>
      <w:pPr>
        <w:pStyle w:val="Heading2"/>
        <w:spacing w:after="120" w:before="280"/>
      </w:pPr>
      <w:r>
        <w:rPr>
          <w:rFonts w:ascii="Arial" w:cs="Arial" w:eastAsia="Arial" w:hAnsi="Arial"/>
          <w:b/>
          <w:bCs/>
          <w:color w:val="4472C4"/>
        </w:rPr>
        <w:t xml:space="preserve">11.3 Expected Outcomes vs Actual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Observation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ANN would outperform classical models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ANN (81.7%) did not significantly outperform SVM (81.9%) or XGBoost (82.15%) — classical ML remains competitive on tabular data</w:t>
            </w:r>
          </w:p>
        </w:tc>
      </w:tr>
      <w:tr>
        <w:tc>
          <w:tcPr>
            <w:tcW w:type="dxa" w:w="40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Class imbalance would affect all models</w:t>
            </w:r>
          </w:p>
        </w:tc>
        <w:tc>
          <w:tcPr>
            <w:tcW w:type="dxa" w:w="53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Confirmed — all models showed low Recall on default class without SMOTE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Recent payment features would dominate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Confirmed — PAY_0 is the most important feature across all models</w:t>
            </w:r>
          </w:p>
        </w:tc>
      </w:tr>
      <w:tr>
        <w:tc>
          <w:tcPr>
            <w:tcW w:type="dxa" w:w="40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Higher credit limits protect against default</w:t>
            </w:r>
          </w:p>
        </w:tc>
        <w:tc>
          <w:tcPr>
            <w:tcW w:type="dxa" w:w="53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Confirmed — LIMIT_BAL shows clear negative correlation with default probability</w:t>
            </w:r>
          </w:p>
        </w:tc>
      </w:tr>
    </w:tbl>
    <w:p>
      <w:r>
        <w:br/>
      </w:r>
    </w:p>
    <w:p>
      <w:pPr>
        <w:pStyle w:val="Heading1"/>
        <w:pBdr>
          <w:bottom w:val="single" w:color="2E75B6" w:sz="6" w:space="1"/>
        </w:pBdr>
        <w:spacing w:after="160" w:before="400"/>
      </w:pPr>
      <w:r>
        <w:rPr>
          <w:rFonts w:ascii="Arial" w:cs="Arial" w:eastAsia="Arial" w:hAnsi="Arial"/>
          <w:b/>
          <w:bCs/>
          <w:color w:val="1F3864"/>
        </w:rPr>
        <w:t xml:space="preserve">12. Conclusions and Future Work</w:t>
      </w:r>
    </w:p>
    <w:p>
      <w:pPr>
        <w:pStyle w:val="Heading2"/>
        <w:spacing w:after="120" w:before="280"/>
      </w:pPr>
      <w:r>
        <w:rPr>
          <w:rFonts w:ascii="Arial" w:cs="Arial" w:eastAsia="Arial" w:hAnsi="Arial"/>
          <w:b/>
          <w:bCs/>
          <w:color w:val="4472C4"/>
        </w:rPr>
        <w:t xml:space="preserve">12.1 Conclusions</w:t>
      </w:r>
    </w:p>
    <w:p>
      <w:pPr>
        <w:spacing w:after="100" w:before="80"/>
        <w:jc w:val="both"/>
      </w:pPr>
      <w:r>
        <w:rPr>
          <w:rFonts w:ascii="Arial" w:cs="Arial" w:eastAsia="Arial" w:hAnsi="Arial"/>
          <w:b w:val="false"/>
          <w:bCs w:val="false"/>
          <w:color w:val="444444"/>
          <w:sz w:val="22"/>
          <w:szCs w:val="22"/>
        </w:rPr>
        <w:t xml:space="preserve">This project successfully built, evaluated, and deployed a complete end-to-end machine learning pipeline for credit card default prediction. The key conclusions are:</w:t>
      </w:r>
    </w:p>
    <w:p>
      <w:pPr>
        <w:pStyle w:val="ListParagraph"/>
        <w:numPr>
          <w:ilvl w:val="0"/>
          <w:numId w:val="3"/>
        </w:numPr>
        <w:spacing w:after="40" w:before="40"/>
      </w:pPr>
      <w:r>
        <w:rPr>
          <w:rFonts w:ascii="Arial" w:cs="Arial" w:eastAsia="Arial" w:hAnsi="Arial"/>
          <w:color w:val="444444"/>
          <w:sz w:val="22"/>
          <w:szCs w:val="22"/>
        </w:rPr>
        <w:t xml:space="preserve">A machine learning approach to credit default prediction is highly viable and can achieve over 82% accuracy on real-world banking data, significantly outperforming rule-based approaches.</w:t>
      </w:r>
    </w:p>
    <w:p>
      <w:pPr>
        <w:pStyle w:val="ListParagraph"/>
        <w:numPr>
          <w:ilvl w:val="0"/>
          <w:numId w:val="3"/>
        </w:numPr>
        <w:spacing w:after="40" w:before="40"/>
      </w:pPr>
      <w:r>
        <w:rPr>
          <w:rFonts w:ascii="Arial" w:cs="Arial" w:eastAsia="Arial" w:hAnsi="Arial"/>
          <w:color w:val="444444"/>
          <w:sz w:val="22"/>
          <w:szCs w:val="22"/>
        </w:rPr>
        <w:t xml:space="preserve">XGBoost is the best single model for this problem, balancing high accuracy, strong generalization, and computational efficiency. It achieved 82.15% accuracy and the highest F1 score in the baseline benchmark.</w:t>
      </w:r>
    </w:p>
    <w:p>
      <w:pPr>
        <w:pStyle w:val="ListParagraph"/>
        <w:numPr>
          <w:ilvl w:val="0"/>
          <w:numId w:val="3"/>
        </w:numPr>
        <w:spacing w:after="40" w:before="40"/>
      </w:pPr>
      <w:r>
        <w:rPr>
          <w:rFonts w:ascii="Arial" w:cs="Arial" w:eastAsia="Arial" w:hAnsi="Arial"/>
          <w:color w:val="444444"/>
          <w:sz w:val="22"/>
          <w:szCs w:val="22"/>
        </w:rPr>
        <w:t xml:space="preserve">SMOTE significantly improves the practical utility of classification models for imbalanced credit datasets by boosting recall on the minority (default) class from ~33% to ~54%.</w:t>
      </w:r>
    </w:p>
    <w:p>
      <w:pPr>
        <w:pStyle w:val="ListParagraph"/>
        <w:numPr>
          <w:ilvl w:val="0"/>
          <w:numId w:val="3"/>
        </w:numPr>
        <w:spacing w:after="40" w:before="40"/>
      </w:pPr>
      <w:r>
        <w:rPr>
          <w:rFonts w:ascii="Arial" w:cs="Arial" w:eastAsia="Arial" w:hAnsi="Arial"/>
          <w:color w:val="444444"/>
          <w:sz w:val="22"/>
          <w:szCs w:val="22"/>
        </w:rPr>
        <w:t xml:space="preserve">Payment history features — particularly the most recent month's repayment status (PAY_0) — are the strongest predictors of default, consistent with financial domain knowledge.</w:t>
      </w:r>
    </w:p>
    <w:p>
      <w:pPr>
        <w:pStyle w:val="ListParagraph"/>
        <w:numPr>
          <w:ilvl w:val="0"/>
          <w:numId w:val="3"/>
        </w:numPr>
        <w:spacing w:after="40" w:before="40"/>
      </w:pPr>
      <w:r>
        <w:rPr>
          <w:rFonts w:ascii="Arial" w:cs="Arial" w:eastAsia="Arial" w:hAnsi="Arial"/>
          <w:color w:val="444444"/>
          <w:sz w:val="22"/>
          <w:szCs w:val="22"/>
        </w:rPr>
        <w:t xml:space="preserve">The deployed Streamlit application successfully translates the ML model into an actionable, user-friendly risk assessment tool that can be used by credit risk analysts in real banking operations.</w:t>
      </w:r>
    </w:p>
    <w:p>
      <w:pPr>
        <w:pStyle w:val="Heading2"/>
        <w:spacing w:after="120" w:before="280"/>
      </w:pPr>
      <w:r>
        <w:rPr>
          <w:rFonts w:ascii="Arial" w:cs="Arial" w:eastAsia="Arial" w:hAnsi="Arial"/>
          <w:b/>
          <w:bCs/>
          <w:color w:val="4472C4"/>
        </w:rPr>
        <w:t xml:space="preserve">12.2 Limitations</w:t>
      </w:r>
    </w:p>
    <w:p>
      <w:pPr>
        <w:pStyle w:val="ListParagraph"/>
        <w:numPr>
          <w:ilvl w:val="0"/>
          <w:numId w:val="2"/>
        </w:numPr>
        <w:spacing w:after="40" w:before="40"/>
      </w:pPr>
      <w:r>
        <w:rPr>
          <w:rFonts w:ascii="Arial" w:cs="Arial" w:eastAsia="Arial" w:hAnsi="Arial"/>
          <w:color w:val="444444"/>
          <w:sz w:val="22"/>
          <w:szCs w:val="22"/>
        </w:rPr>
        <w:t xml:space="preserve">The dataset is from 2005 Taiwan — consumer credit behaviour may differ in other regions and time periods. Model generalizability to other markets requires validation.</w:t>
      </w:r>
    </w:p>
    <w:p>
      <w:pPr>
        <w:pStyle w:val="ListParagraph"/>
        <w:numPr>
          <w:ilvl w:val="0"/>
          <w:numId w:val="2"/>
        </w:numPr>
        <w:spacing w:after="40" w:before="40"/>
      </w:pPr>
      <w:r>
        <w:rPr>
          <w:rFonts w:ascii="Arial" w:cs="Arial" w:eastAsia="Arial" w:hAnsi="Arial"/>
          <w:color w:val="444444"/>
          <w:sz w:val="22"/>
          <w:szCs w:val="22"/>
        </w:rPr>
        <w:t xml:space="preserve">The model was trained on pre-COVID economic data. Pandemic-era financial disruptions could produce different patterns of default.</w:t>
      </w:r>
    </w:p>
    <w:p>
      <w:pPr>
        <w:pStyle w:val="ListParagraph"/>
        <w:numPr>
          <w:ilvl w:val="0"/>
          <w:numId w:val="2"/>
        </w:numPr>
        <w:spacing w:after="40" w:before="40"/>
      </w:pPr>
      <w:r>
        <w:rPr>
          <w:rFonts w:ascii="Arial" w:cs="Arial" w:eastAsia="Arial" w:hAnsi="Arial"/>
          <w:color w:val="444444"/>
          <w:sz w:val="22"/>
          <w:szCs w:val="22"/>
        </w:rPr>
        <w:t xml:space="preserve">Advanced techniques such as oversampling with class weights, threshold optimization, and SHAP-based explainability were not implemented in the initial version.</w:t>
      </w:r>
    </w:p>
    <w:p>
      <w:pPr>
        <w:pStyle w:val="ListParagraph"/>
        <w:numPr>
          <w:ilvl w:val="0"/>
          <w:numId w:val="2"/>
        </w:numPr>
        <w:spacing w:after="40" w:before="40"/>
      </w:pPr>
      <w:r>
        <w:rPr>
          <w:rFonts w:ascii="Arial" w:cs="Arial" w:eastAsia="Arial" w:hAnsi="Arial"/>
          <w:color w:val="444444"/>
          <w:sz w:val="22"/>
          <w:szCs w:val="22"/>
        </w:rPr>
        <w:t xml:space="preserve">The ANN was trained without learning rate scheduling, early stopping, or advanced regularization — these could improve its performance.</w:t>
      </w:r>
    </w:p>
    <w:p>
      <w:pPr>
        <w:pStyle w:val="Heading2"/>
        <w:spacing w:after="120" w:before="280"/>
      </w:pPr>
      <w:r>
        <w:rPr>
          <w:rFonts w:ascii="Arial" w:cs="Arial" w:eastAsia="Arial" w:hAnsi="Arial"/>
          <w:b/>
          <w:bCs/>
          <w:color w:val="4472C4"/>
        </w:rPr>
        <w:t xml:space="preserve">12.3 Future Work</w:t>
      </w:r>
    </w:p>
    <w:p>
      <w:pPr>
        <w:pStyle w:val="ListParagraph"/>
        <w:numPr>
          <w:ilvl w:val="0"/>
          <w:numId w:val="2"/>
        </w:numPr>
        <w:spacing w:after="40" w:before="40"/>
      </w:pPr>
      <w:r>
        <w:rPr>
          <w:rFonts w:ascii="Arial" w:cs="Arial" w:eastAsia="Arial" w:hAnsi="Arial"/>
          <w:color w:val="444444"/>
          <w:sz w:val="22"/>
          <w:szCs w:val="22"/>
        </w:rPr>
        <w:t xml:space="preserve">Implement SHAP (SHapley Additive exPlanations) for individual-level model explainability — critical for regulatory compliance (GDPR, model governance)</w:t>
      </w:r>
    </w:p>
    <w:p>
      <w:pPr>
        <w:pStyle w:val="ListParagraph"/>
        <w:numPr>
          <w:ilvl w:val="0"/>
          <w:numId w:val="2"/>
        </w:numPr>
        <w:spacing w:after="40" w:before="40"/>
      </w:pPr>
      <w:r>
        <w:rPr>
          <w:rFonts w:ascii="Arial" w:cs="Arial" w:eastAsia="Arial" w:hAnsi="Arial"/>
          <w:color w:val="444444"/>
          <w:sz w:val="22"/>
          <w:szCs w:val="22"/>
        </w:rPr>
        <w:t xml:space="preserve">Apply threshold optimization (precision-recall tradeoff analysis) to tune the classification cutoff based on the bank's specific cost-benefit ratio of missed defaults vs false alarms</w:t>
      </w:r>
    </w:p>
    <w:p>
      <w:pPr>
        <w:pStyle w:val="ListParagraph"/>
        <w:numPr>
          <w:ilvl w:val="0"/>
          <w:numId w:val="2"/>
        </w:numPr>
        <w:spacing w:after="40" w:before="40"/>
      </w:pPr>
      <w:r>
        <w:rPr>
          <w:rFonts w:ascii="Arial" w:cs="Arial" w:eastAsia="Arial" w:hAnsi="Arial"/>
          <w:color w:val="444444"/>
          <w:sz w:val="22"/>
          <w:szCs w:val="22"/>
        </w:rPr>
        <w:t xml:space="preserve">Explore advanced resampling techniques such as ADASYN (Adaptive Synthetic Sampling) and combination methods (SMOTEENN)</w:t>
      </w:r>
    </w:p>
    <w:p>
      <w:pPr>
        <w:pStyle w:val="ListParagraph"/>
        <w:numPr>
          <w:ilvl w:val="0"/>
          <w:numId w:val="2"/>
        </w:numPr>
        <w:spacing w:after="40" w:before="40"/>
      </w:pPr>
      <w:r>
        <w:rPr>
          <w:rFonts w:ascii="Arial" w:cs="Arial" w:eastAsia="Arial" w:hAnsi="Arial"/>
          <w:color w:val="444444"/>
          <w:sz w:val="22"/>
          <w:szCs w:val="22"/>
        </w:rPr>
        <w:t xml:space="preserve">Build a credit scorecard from the Logistic Regression model to produce interpretable scores on a standardized scale (300-850) for customer communication</w:t>
      </w:r>
    </w:p>
    <w:p>
      <w:pPr>
        <w:pStyle w:val="ListParagraph"/>
        <w:numPr>
          <w:ilvl w:val="0"/>
          <w:numId w:val="2"/>
        </w:numPr>
        <w:spacing w:after="40" w:before="40"/>
      </w:pPr>
      <w:r>
        <w:rPr>
          <w:rFonts w:ascii="Arial" w:cs="Arial" w:eastAsia="Arial" w:hAnsi="Arial"/>
          <w:color w:val="444444"/>
          <w:sz w:val="22"/>
          <w:szCs w:val="22"/>
        </w:rPr>
        <w:t xml:space="preserve">Extend the model to multi-class prediction: low risk, medium risk, high risk, severe risk — for more granular credit limit recommendations</w:t>
      </w:r>
    </w:p>
    <w:p>
      <w:pPr>
        <w:pStyle w:val="ListParagraph"/>
        <w:numPr>
          <w:ilvl w:val="0"/>
          <w:numId w:val="2"/>
        </w:numPr>
        <w:spacing w:after="40" w:before="40"/>
      </w:pPr>
      <w:r>
        <w:rPr>
          <w:rFonts w:ascii="Arial" w:cs="Arial" w:eastAsia="Arial" w:hAnsi="Arial"/>
          <w:color w:val="444444"/>
          <w:sz w:val="22"/>
          <w:szCs w:val="22"/>
        </w:rPr>
        <w:t xml:space="preserve">Integrate real-time data feeds and retrain the model periodically to capture evolving economic conditions and customer behaviour shifts</w:t>
      </w:r>
    </w:p>
    <w:p>
      <w:r>
        <w:br/>
      </w:r>
    </w:p>
    <w:p>
      <w:pPr>
        <w:pStyle w:val="Heading1"/>
        <w:pBdr>
          <w:bottom w:val="single" w:color="2E75B6" w:sz="6" w:space="1"/>
        </w:pBdr>
        <w:spacing w:after="160" w:before="400"/>
      </w:pPr>
      <w:r>
        <w:rPr>
          <w:rFonts w:ascii="Arial" w:cs="Arial" w:eastAsia="Arial" w:hAnsi="Arial"/>
          <w:b/>
          <w:bCs/>
          <w:color w:val="1F3864"/>
        </w:rPr>
        <w:t xml:space="preserve">Appendix</w:t>
      </w:r>
    </w:p>
    <w:p>
      <w:pPr>
        <w:pStyle w:val="Heading2"/>
        <w:spacing w:after="120" w:before="280"/>
      </w:pPr>
      <w:r>
        <w:rPr>
          <w:rFonts w:ascii="Arial" w:cs="Arial" w:eastAsia="Arial" w:hAnsi="Arial"/>
          <w:b/>
          <w:bCs/>
          <w:color w:val="4472C4"/>
        </w:rPr>
        <w:t xml:space="preserve">A. Model Hyperparameter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Hyperparameters</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Training 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Logistic Regression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max_iter=1000, solver='lbfgs'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Default sklearn settings; C=1 (L2 regularization)</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Decision Tree</w:t>
            </w:r>
          </w:p>
        </w:tc>
        <w:tc>
          <w:tcPr>
            <w:tcW w:type="dxa" w:w="37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max_depth=6, min_samples_leaf=20</w:t>
            </w:r>
          </w:p>
        </w:tc>
        <w:tc>
          <w:tcPr>
            <w:tcW w:type="dxa" w:w="3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Depth limited to prevent overfitting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Random Forest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n_estimators=200, max_depth=10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GridSearchCV optimized; n_jobs=-1 for parallel</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KNN</w:t>
            </w:r>
          </w:p>
        </w:tc>
        <w:tc>
          <w:tcPr>
            <w:tcW w:type="dxa" w:w="37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n_neighbors=5</w:t>
            </w:r>
          </w:p>
        </w:tc>
        <w:tc>
          <w:tcPr>
            <w:tcW w:type="dxa" w:w="3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Default; StandardScaler applied before training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SVM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C=1, kernel='rbf'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GridSearchCV best params; scaled data required</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Naive Bayes</w:t>
            </w:r>
          </w:p>
        </w:tc>
        <w:tc>
          <w:tcPr>
            <w:tcW w:type="dxa" w:w="37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GaussianNB defaults</w:t>
            </w:r>
          </w:p>
        </w:tc>
        <w:tc>
          <w:tcPr>
            <w:tcW w:type="dxa" w:w="3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No hyperparameter tuning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XGBoost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n_est=300, lr=0.05, depth=4, subsample=0.8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Manually tuned; best accuracy overall</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ANN</w:t>
            </w:r>
          </w:p>
        </w:tc>
        <w:tc>
          <w:tcPr>
            <w:tcW w:type="dxa" w:w="37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128→64→32→1, Dropout=0.2, Adam, BCE</w:t>
            </w:r>
          </w:p>
        </w:tc>
        <w:tc>
          <w:tcPr>
            <w:tcW w:type="dxa" w:w="3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Epochs=30-50, batch=64, validation_split=0.2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Gradient Boosting (deployed)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n_est=30, max_depth=4, compress=9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Optimized for size (29KB); SMOTE + StandardScaler</w:t>
            </w:r>
          </w:p>
        </w:tc>
      </w:tr>
    </w:tbl>
    <w:p/>
    <w:p>
      <w:pPr>
        <w:pStyle w:val="Heading2"/>
        <w:spacing w:after="120" w:before="280"/>
      </w:pPr>
      <w:r>
        <w:rPr>
          <w:rFonts w:ascii="Arial" w:cs="Arial" w:eastAsia="Arial" w:hAnsi="Arial"/>
          <w:b/>
          <w:bCs/>
          <w:color w:val="4472C4"/>
        </w:rPr>
        <w:t xml:space="preserve">B. Repayment Status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w:t>
            </w:r>
          </w:p>
        </w:tc>
        <w:tc>
          <w:tcPr>
            <w:tcW w:type="dxa" w:w="4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No consumption in that month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Neutral</w:t>
            </w:r>
          </w:p>
        </w:tc>
      </w:tr>
      <w:tr>
        <w:tc>
          <w:tcPr>
            <w:tcW w:type="dxa" w:w="1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-1</w:t>
            </w:r>
          </w:p>
        </w:tc>
        <w:tc>
          <w:tcPr>
            <w:tcW w:type="dxa" w:w="4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Paid duly — full balance cleared</w:t>
            </w:r>
          </w:p>
        </w:tc>
        <w:tc>
          <w:tcPr>
            <w:tcW w:type="dxa" w:w="33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Low Risk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0</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Use of revolving credit (minimum payment)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Neutral/Watch</w:t>
            </w:r>
          </w:p>
        </w:tc>
      </w:tr>
      <w:tr>
        <w:tc>
          <w:tcPr>
            <w:tcW w:type="dxa" w:w="1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1</w:t>
            </w:r>
          </w:p>
        </w:tc>
        <w:tc>
          <w:tcPr>
            <w:tcW w:type="dxa" w:w="4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Payment delay — 1 month</w:t>
            </w:r>
          </w:p>
        </w:tc>
        <w:tc>
          <w:tcPr>
            <w:tcW w:type="dxa" w:w="33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Medium Risk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Payment delay — 2 months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High Risk</w:t>
            </w:r>
          </w:p>
        </w:tc>
      </w:tr>
      <w:tr>
        <w:tc>
          <w:tcPr>
            <w:tcW w:type="dxa" w:w="1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3</w:t>
            </w:r>
          </w:p>
        </w:tc>
        <w:tc>
          <w:tcPr>
            <w:tcW w:type="dxa" w:w="4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Payment delay — 3 months</w:t>
            </w:r>
          </w:p>
        </w:tc>
        <w:tc>
          <w:tcPr>
            <w:tcW w:type="dxa" w:w="33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High Risk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4</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Payment delay — 4 months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5</w:t>
            </w:r>
          </w:p>
        </w:tc>
        <w:tc>
          <w:tcPr>
            <w:tcW w:type="dxa" w:w="48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Payment delay — 5 months</w:t>
            </w:r>
          </w:p>
        </w:tc>
        <w:tc>
          <w:tcPr>
            <w:tcW w:type="dxa" w:w="33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Critical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6+</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Payment delay — 6 or more months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Severe / Default Imminent</w:t>
            </w:r>
          </w:p>
        </w:tc>
      </w:tr>
    </w:tbl>
    <w:p/>
    <w:p>
      <w:pPr>
        <w:pStyle w:val="Heading2"/>
        <w:spacing w:after="120" w:before="280"/>
      </w:pPr>
      <w:r>
        <w:rPr>
          <w:rFonts w:ascii="Arial" w:cs="Arial" w:eastAsia="Arial" w:hAnsi="Arial"/>
          <w:b/>
          <w:bCs/>
          <w:color w:val="4472C4"/>
        </w:rPr>
        <w:t xml:space="preserve">C.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SMOTE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Synthetic Minority Oversampling Technique — generates synthetic samples for minority class by interpolating between existing examples</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ROC-AUC</w:t>
            </w:r>
          </w:p>
        </w:tc>
        <w:tc>
          <w:tcPr>
            <w:tcW w:type="dxa" w:w="69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Area Under the Receiver Operating Characteristic Curve — measures discriminative ability across all thresholds (0.5 = random, 1.0 = perfect)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Gradient Boosting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Sequential ensemble that builds trees where each corrects errors of the previous, using gradient descent to minimize loss</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StandardScaler</w:t>
            </w:r>
          </w:p>
        </w:tc>
        <w:tc>
          <w:tcPr>
            <w:tcW w:type="dxa" w:w="69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Transforms features to zero mean and unit variance: z = (x - mean) / std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Log1p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log(1+x) transformation — reduces right skewness while safely handling zero values</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Precision</w:t>
            </w:r>
          </w:p>
        </w:tc>
        <w:tc>
          <w:tcPr>
            <w:tcW w:type="dxa" w:w="69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TP/(TP+FP) — of predicted positives, fraction that are true positives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Recall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TP/(TP+FN) — of actual positives, fraction correctly identified</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F1 Score</w:t>
            </w:r>
          </w:p>
        </w:tc>
        <w:tc>
          <w:tcPr>
            <w:tcW w:type="dxa" w:w="69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2*(Precision*Recall)/(Precision+Recall) — harmonic mean balancing precision and recall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NT Dollar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444444"/>
                <w:sz w:val="20"/>
                <w:szCs w:val="20"/>
              </w:rPr>
              <w:t xml:space="preserve">New Taiwan Dollar — currency used in the dataset (1 USD ≈ 30 NT$ as of 2005)</w:t>
            </w:r>
          </w:p>
        </w:tc>
      </w:tr>
      <w:tr>
        <w:tc>
          <w:tcPr>
            <w:tcW w:type="dxa" w:w="240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Credit Utilization</w:t>
            </w:r>
          </w:p>
        </w:tc>
        <w:tc>
          <w:tcPr>
            <w:tcW w:type="dxa" w:w="6960"/>
            <w:tcBorders>
              <w:top w:val="single" w:color="CCCCCC" w:sz="1"/>
              <w:left w:val="single" w:color="CCCCCC" w:sz="1"/>
              <w:bottom w:val="single" w:color="CCCCCC" w:sz="1"/>
              <w:right w:val="single" w:color="CCCCCC" w:sz="1"/>
            </w:tcBorders>
            <w:shd w:fill="F0F6FC" w:val="clear"/>
            <w:tcMar>
              <w:top w:type="dxa" w:w="80"/>
              <w:left w:type="dxa" w:w="120"/>
              <w:bottom w:type="dxa" w:w="80"/>
              <w:right w:type="dxa" w:w="120"/>
            </w:tcMar>
          </w:tcPr>
          <w:p>
            <w:pPr>
              <w:jc w:val="center"/>
            </w:pPr>
            <w:r>
              <w:rPr>
                <w:rFonts w:ascii="Arial" w:cs="Arial" w:eastAsia="Arial" w:hAnsi="Arial"/>
                <w:color w:val="444444"/>
                <w:sz w:val="20"/>
                <w:szCs w:val="20"/>
              </w:rPr>
              <w:t xml:space="preserve">Ratio of current bill amount to credit limit — high utilization signals financial stress</w:t>
            </w:r>
          </w:p>
        </w:tc>
      </w:tr>
    </w:tbl>
    <w:p/>
    <w:p>
      <w:pPr>
        <w:spacing w:after="100" w:before="80"/>
        <w:jc w:val="center"/>
      </w:pPr>
      <w:r>
        <w:rPr>
          <w:rFonts w:ascii="Arial" w:cs="Arial" w:eastAsia="Arial" w:hAnsi="Arial"/>
          <w:b/>
          <w:bCs/>
          <w:color w:val="444444"/>
          <w:sz w:val="22"/>
          <w:szCs w:val="22"/>
        </w:rPr>
        <w:t xml:space="preserve">—— End of Document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pPr>
    <w:r>
      <w:rPr>
        <w:rFonts w:ascii="Arial" w:cs="Arial" w:eastAsia="Arial" w:hAnsi="Arial"/>
        <w:color w:val="888888"/>
        <w:sz w:val="18"/>
        <w:szCs w:val="18"/>
      </w:rPr>
      <w:t xml:space="preserve">Simran  |  B13 Batch  |  Capstone Project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0"/>
    </w:pPr>
    <w:r>
      <w:rPr>
        <w:rFonts w:ascii="Arial" w:cs="Arial" w:eastAsia="Arial" w:hAnsi="Arial"/>
        <w:color w:val="666666"/>
        <w:sz w:val="18"/>
        <w:szCs w:val="18"/>
      </w:rPr>
      <w:t xml:space="preserve">Credit Card Default Prediction  |  Model Development Document</w:t>
    </w:r>
    <w:r>
      <w:rPr>
        <w:rFonts w:ascii="Arial" w:cs="Arial" w:eastAsia="Arial" w:hAnsi="Arial"/>
        <w:color w:val="2E75B6"/>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472C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2026-04-27T10:57:02.963Z</dcterms:created>
  <dcterms:modified xsi:type="dcterms:W3CDTF">2026-04-27T10:57:02.964Z</dcterms:modified>
</cp:coreProperties>
</file>

<file path=docProps/custom.xml><?xml version="1.0" encoding="utf-8"?>
<Properties xmlns="http://schemas.openxmlformats.org/officeDocument/2006/custom-properties" xmlns:vt="http://schemas.openxmlformats.org/officeDocument/2006/docPropsVTypes"/>
</file>