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790C" w14:textId="1266EF22" w:rsidR="00815DB9" w:rsidRDefault="00815DB9">
      <w:r w:rsidRPr="00815DB9">
        <w:t>ROI (%) = (Manual Cost – AI Cost) / AI Cost * 100</w:t>
      </w:r>
    </w:p>
    <w:p w14:paraId="5806F14E" w14:textId="77777777" w:rsidR="00815DB9" w:rsidRDefault="00815DB9"/>
    <w:p w14:paraId="26ED8796" w14:textId="77777777" w:rsidR="00815DB9" w:rsidRDefault="00815DB9"/>
    <w:sectPr w:rsidR="0081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B9"/>
    <w:rsid w:val="000134B3"/>
    <w:rsid w:val="0081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E3C3"/>
  <w15:chartTrackingRefBased/>
  <w15:docId w15:val="{C0003A65-FB6E-4334-9F02-3BE621CC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2025-06-15T10:37:00Z</dcterms:created>
  <dcterms:modified xsi:type="dcterms:W3CDTF">2025-06-15T10:37:00Z</dcterms:modified>
</cp:coreProperties>
</file>