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Menlo" w:cs="Menlo" w:eastAsia="Menlo" w:hAnsi="Menlo"/>
          <w:color w:val="C44510"/>
          <w:spacing w:val="60"/>
          <w:sz w:val="18"/>
          <w:szCs w:val="18"/>
        </w:rPr>
        <w:t xml:space="preserve">STATEMENT OF WORK</w:t>
      </w:r>
    </w:p>
    <w:p>
      <w:pPr>
        <w:spacing w:after="80" w:before="240"/>
      </w:pPr>
      <w:r>
        <w:rPr>
          <w:rFonts w:ascii="Georgia" w:cs="Georgia" w:eastAsia="Georgia" w:hAnsi="Georgia"/>
          <w:color w:val="1A1612"/>
          <w:sz w:val="88"/>
          <w:szCs w:val="88"/>
        </w:rPr>
        <w:t xml:space="preserve">{{CLIENT NAME}}</w:t>
      </w:r>
    </w:p>
    <w:p>
      <w:pPr>
        <w:spacing w:after="360"/>
      </w:pPr>
      <w:r>
        <w:rPr>
          <w:rFonts w:ascii="Georgia" w:cs="Georgia" w:eastAsia="Georgia" w:hAnsi="Georgia"/>
          <w:i/>
          <w:iCs/>
          <w:color w:val="C44510"/>
          <w:sz w:val="48"/>
          <w:szCs w:val="48"/>
        </w:rPr>
        <w:t xml:space="preserve">Strategy Sprint</w:t>
      </w:r>
    </w:p>
    <w:p>
      <w:pPr>
        <w:tabs>
          <w:tab w:val="left" w:pos="2160"/>
        </w:tabs>
        <w:spacing w:after="80" w:line="300"/>
      </w:pPr>
      <w:r>
        <w:rPr>
          <w:rFonts w:ascii="Menlo" w:cs="Menlo" w:eastAsia="Menlo" w:hAnsi="Menlo"/>
          <w:color w:val="4D453A"/>
          <w:spacing w:val="30"/>
          <w:sz w:val="18"/>
          <w:szCs w:val="18"/>
        </w:rPr>
        <w:t xml:space="preserve">SOW NO.</w:t>
      </w:r>
      <w:r>
        <w:rPr>
          <w:rFonts w:ascii="Helvetica Neue" w:cs="Helvetica Neue" w:eastAsia="Helvetica Neue" w:hAnsi="Helvetica Neue"/>
        </w:rPr>
        <w:t xml:space="preserve">	</w:t>
      </w:r>
      <w:r>
        <w:rPr>
          <w:rFonts w:ascii="Helvetica Neue" w:cs="Helvetica Neue" w:eastAsia="Helvetica Neue" w:hAnsi="Helvetica Neue"/>
          <w:color w:val="1A1612"/>
          <w:sz w:val="22"/>
          <w:szCs w:val="22"/>
        </w:rPr>
        <w:t xml:space="preserve">{{SOW-001}}</w:t>
      </w:r>
    </w:p>
    <w:p>
      <w:pPr>
        <w:tabs>
          <w:tab w:val="left" w:pos="2160"/>
        </w:tabs>
        <w:spacing w:after="80" w:line="300"/>
      </w:pPr>
      <w:r>
        <w:rPr>
          <w:rFonts w:ascii="Menlo" w:cs="Menlo" w:eastAsia="Menlo" w:hAnsi="Menlo"/>
          <w:color w:val="4D453A"/>
          <w:spacing w:val="30"/>
          <w:sz w:val="18"/>
          <w:szCs w:val="18"/>
        </w:rPr>
        <w:t xml:space="preserve">DATE</w:t>
      </w:r>
      <w:r>
        <w:rPr>
          <w:rFonts w:ascii="Helvetica Neue" w:cs="Helvetica Neue" w:eastAsia="Helvetica Neue" w:hAnsi="Helvetica Neue"/>
        </w:rPr>
        <w:t xml:space="preserve">	</w:t>
      </w:r>
      <w:r>
        <w:rPr>
          <w:rFonts w:ascii="Helvetica Neue" w:cs="Helvetica Neue" w:eastAsia="Helvetica Neue" w:hAnsi="Helvetica Neue"/>
          <w:color w:val="1A1612"/>
          <w:sz w:val="22"/>
          <w:szCs w:val="22"/>
        </w:rPr>
        <w:t xml:space="preserve">{{DATE}}</w:t>
      </w:r>
    </w:p>
    <w:p>
      <w:pPr>
        <w:tabs>
          <w:tab w:val="left" w:pos="2160"/>
        </w:tabs>
        <w:spacing w:after="80" w:line="300"/>
      </w:pPr>
      <w:r>
        <w:rPr>
          <w:rFonts w:ascii="Menlo" w:cs="Menlo" w:eastAsia="Menlo" w:hAnsi="Menlo"/>
          <w:color w:val="4D453A"/>
          <w:spacing w:val="30"/>
          <w:sz w:val="18"/>
          <w:szCs w:val="18"/>
        </w:rPr>
        <w:t xml:space="preserve">BETWEEN</w:t>
      </w:r>
      <w:r>
        <w:rPr>
          <w:rFonts w:ascii="Helvetica Neue" w:cs="Helvetica Neue" w:eastAsia="Helvetica Neue" w:hAnsi="Helvetica Neue"/>
        </w:rPr>
        <w:t xml:space="preserve">	</w:t>
      </w:r>
      <w:r>
        <w:rPr>
          <w:rFonts w:ascii="Helvetica Neue" w:cs="Helvetica Neue" w:eastAsia="Helvetica Neue" w:hAnsi="Helvetica Neue"/>
          <w:color w:val="1A1612"/>
          <w:sz w:val="22"/>
          <w:szCs w:val="22"/>
        </w:rPr>
        <w:t xml:space="preserve">NS Studio LLC ("Studio") and {{CLIENT LEGAL NAME}} ("Client")</w:t>
      </w:r>
    </w:p>
    <w:p>
      <w:pPr>
        <w:tabs>
          <w:tab w:val="left" w:pos="2160"/>
        </w:tabs>
        <w:spacing w:after="80" w:line="300"/>
      </w:pPr>
      <w:r>
        <w:rPr>
          <w:rFonts w:ascii="Menlo" w:cs="Menlo" w:eastAsia="Menlo" w:hAnsi="Menlo"/>
          <w:color w:val="4D453A"/>
          <w:spacing w:val="30"/>
          <w:sz w:val="18"/>
          <w:szCs w:val="18"/>
        </w:rPr>
        <w:t xml:space="preserve">ENGAGEMENT</w:t>
      </w:r>
      <w:r>
        <w:rPr>
          <w:rFonts w:ascii="Helvetica Neue" w:cs="Helvetica Neue" w:eastAsia="Helvetica Neue" w:hAnsi="Helvetica Neue"/>
        </w:rPr>
        <w:t xml:space="preserve">	</w:t>
      </w:r>
      <w:r>
        <w:rPr>
          <w:rFonts w:ascii="Helvetica Neue" w:cs="Helvetica Neue" w:eastAsia="Helvetica Neue" w:hAnsi="Helvetica Neue"/>
          <w:color w:val="1A1612"/>
          <w:sz w:val="22"/>
          <w:szCs w:val="22"/>
        </w:rPr>
        <w:t xml:space="preserve">Strategy Sprint — diagnostic, synthesis, and 90-day plan</w:t>
      </w:r>
    </w:p>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612" w:sz="4"/>
              <w:left w:val="single" w:color="1A1612" w:sz="4"/>
              <w:bottom w:val="single" w:color="1A1612" w:sz="4"/>
              <w:right w:val="single" w:color="1A1612" w:sz="4"/>
            </w:tcBorders>
            <w:shd w:fill="1A1612" w:color="auto" w:val="clear"/>
            <w:tcMar>
              <w:top w:type="dxa" w:w="220"/>
              <w:left w:type="dxa" w:w="280"/>
              <w:bottom w:type="dxa" w:w="220"/>
              <w:right w:type="dxa" w:w="280"/>
            </w:tcMar>
          </w:tcPr>
          <w:p>
            <w:pPr>
              <w:spacing w:after="0" w:line="260"/>
            </w:pPr>
            <w:r>
              <w:rPr>
                <w:rFonts w:ascii="Menlo" w:cs="Menlo" w:eastAsia="Menlo" w:hAnsi="Menlo"/>
                <w:color w:val="C44510"/>
                <w:sz w:val="18"/>
                <w:szCs w:val="18"/>
              </w:rPr>
              <w:t xml:space="preserve">&lt;task&gt;</w:t>
            </w:r>
          </w:p>
          <w:p>
            <w:pPr>
              <w:spacing w:after="0" w:line="260"/>
            </w:pPr>
            <w:r>
              <w:rPr>
                <w:rFonts w:ascii="Menlo" w:cs="Menlo" w:eastAsia="Menlo" w:hAnsi="Menlo"/>
                <w:color w:val="F0E8D8"/>
                <w:sz w:val="18"/>
                <w:szCs w:val="18"/>
              </w:rPr>
              <w:t xml:space="preserve">Pressure-test {{Client}}’s AI roadmap.</w:t>
            </w:r>
          </w:p>
          <w:p>
            <w:pPr>
              <w:spacing w:after="0" w:line="260"/>
            </w:pPr>
            <w:r>
              <w:rPr>
                <w:rFonts w:ascii="Menlo" w:cs="Menlo" w:eastAsia="Menlo" w:hAnsi="Menlo"/>
                <w:color w:val="F0E8D8"/>
                <w:sz w:val="18"/>
                <w:szCs w:val="18"/>
              </w:rPr>
              <w:t xml:space="preserve">Find every fatal flaw before another</w:t>
            </w:r>
          </w:p>
          <w:p>
            <w:pPr>
              <w:spacing w:after="0" w:line="260"/>
            </w:pPr>
            <w:r>
              <w:rPr>
                <w:rFonts w:ascii="Menlo" w:cs="Menlo" w:eastAsia="Menlo" w:hAnsi="Menlo"/>
                <w:color w:val="F0E8D8"/>
                <w:sz w:val="18"/>
                <w:szCs w:val="18"/>
              </w:rPr>
              <w:t xml:space="preserve">quarter is wasted on the wrong thing.</w:t>
            </w:r>
          </w:p>
          <w:p>
            <w:pPr>
              <w:spacing w:after="0" w:line="260"/>
            </w:pPr>
            <w:r>
              <w:rPr>
                <w:rFonts w:ascii="Menlo" w:cs="Menlo" w:eastAsia="Menlo" w:hAnsi="Menlo"/>
                <w:color w:val="F0E8D8"/>
                <w:sz w:val="18"/>
                <w:szCs w:val="18"/>
              </w:rPr>
              <w:t xml:space="preserve">Deliver a kill list, a ranked ROI</w:t>
            </w:r>
          </w:p>
          <w:p>
            <w:pPr>
              <w:spacing w:after="0" w:line="260"/>
            </w:pPr>
            <w:r>
              <w:rPr>
                <w:rFonts w:ascii="Menlo" w:cs="Menlo" w:eastAsia="Menlo" w:hAnsi="Menlo"/>
                <w:color w:val="F0E8D8"/>
                <w:sz w:val="18"/>
                <w:szCs w:val="18"/>
              </w:rPr>
              <w:t xml:space="preserve">scorecard, and a 90-day plan a CEO</w:t>
            </w:r>
          </w:p>
          <w:p>
            <w:pPr>
              <w:spacing w:after="0" w:line="260"/>
            </w:pPr>
            <w:r>
              <w:rPr>
                <w:rFonts w:ascii="Menlo" w:cs="Menlo" w:eastAsia="Menlo" w:hAnsi="Menlo"/>
                <w:color w:val="F0E8D8"/>
                <w:sz w:val="18"/>
                <w:szCs w:val="18"/>
              </w:rPr>
              <w:t xml:space="preserve">and CFO can both sign.</w:t>
            </w:r>
          </w:p>
          <w:p>
            <w:pPr>
              <w:spacing w:after="0" w:line="260"/>
            </w:pPr>
            <w:r>
              <w:rPr>
                <w:rFonts w:ascii="Menlo" w:cs="Menlo" w:eastAsia="Menlo" w:hAnsi="Menlo"/>
                <w:color w:val="C44510"/>
                <w:sz w:val="18"/>
                <w:szCs w:val="18"/>
              </w:rPr>
              <w:t xml:space="preserve">&lt;/task&gt;</w:t>
            </w:r>
          </w:p>
        </w:tc>
      </w:tr>
    </w:tbl>
    <w:p>
      <w:pPr>
        <w:spacing w:after="0" w:before="200"/>
      </w:pPr>
      <w:r>
        <w:rPr>
          <w:rFonts w:ascii="Menlo" w:cs="Menlo" w:eastAsia="Menlo" w:hAnsi="Menlo"/>
          <w:i/>
          <w:iCs/>
          <w:color w:val="4D453A"/>
          <w:sz w:val="16"/>
          <w:szCs w:val="16"/>
        </w:rPr>
        <w:t xml:space="preserve">The engagement’s task — placeholder. Replace before sending.</w:t>
      </w:r>
    </w:p>
    <w:p>
      <w:pPr>
        <w:pageBreakBefore/>
      </w:pPr>
      <w:r>
        <w:t xml:space="preserve"/>
      </w:r>
    </w:p>
    <w:p>
      <w:pPr>
        <w:spacing w:after="120" w:before="0"/>
      </w:pPr>
      <w:r>
        <w:rPr>
          <w:rFonts w:ascii="Menlo" w:cs="Menlo" w:eastAsia="Menlo" w:hAnsi="Menlo"/>
          <w:color w:val="C44510"/>
          <w:spacing w:val="40"/>
          <w:sz w:val="18"/>
          <w:szCs w:val="18"/>
        </w:rPr>
        <w:t xml:space="preserve">01 / SCOPE</w:t>
      </w:r>
    </w:p>
    <w:p>
      <w:pPr>
        <w:spacing w:after="200" w:before="60"/>
      </w:pPr>
      <w:r>
        <w:rPr>
          <w:rFonts w:ascii="Georgia" w:cs="Georgia" w:eastAsia="Georgia" w:hAnsi="Georgia"/>
          <w:color w:val="1A1612"/>
          <w:sz w:val="56"/>
          <w:szCs w:val="56"/>
        </w:rPr>
        <w:t xml:space="preserve">What this engagement is.</w:t>
      </w:r>
    </w:p>
    <w:p>
      <w:pPr>
        <w:spacing w:after="140" w:before="0" w:line="320" w:lineRule="auto"/>
      </w:pPr>
      <w:r>
        <w:rPr>
          <w:rFonts w:ascii="Helvetica Neue" w:cs="Helvetica Neue" w:eastAsia="Helvetica Neue" w:hAnsi="Helvetica Neue"/>
          <w:color w:val="1A1612"/>
          <w:sz w:val="22"/>
          <w:szCs w:val="22"/>
        </w:rPr>
        <w:t xml:space="preserve">A fixed-fee Strategy Sprint. Studio diagnoses Client’s current AI initiatives, pressure-tests the roadmap against a single framework, and delivers four artifacts a CEO and CFO can both sign without rewriting them.</w:t>
      </w:r>
    </w:p>
    <w:p>
      <w:pPr>
        <w:spacing w:after="120" w:before="240"/>
      </w:pPr>
      <w:r>
        <w:rPr>
          <w:rFonts w:ascii="Menlo" w:cs="Menlo" w:eastAsia="Menlo" w:hAnsi="Menlo"/>
          <w:color w:val="C44510"/>
          <w:spacing w:val="40"/>
          <w:sz w:val="18"/>
          <w:szCs w:val="18"/>
        </w:rPr>
        <w:t xml:space="preserve">ENGAGEMENT DETAILS</w:t>
      </w:r>
    </w:p>
    <w:p>
      <w:pPr>
        <w:tabs>
          <w:tab w:val="left" w:pos="2160"/>
        </w:tabs>
        <w:spacing w:after="80" w:line="300"/>
      </w:pPr>
      <w:r>
        <w:rPr>
          <w:rFonts w:ascii="Menlo" w:cs="Menlo" w:eastAsia="Menlo" w:hAnsi="Menlo"/>
          <w:color w:val="4D453A"/>
          <w:spacing w:val="30"/>
          <w:sz w:val="18"/>
          <w:szCs w:val="18"/>
        </w:rPr>
        <w:t xml:space="preserve">TYPE</w:t>
      </w:r>
      <w:r>
        <w:rPr>
          <w:rFonts w:ascii="Helvetica Neue" w:cs="Helvetica Neue" w:eastAsia="Helvetica Neue" w:hAnsi="Helvetica Neue"/>
        </w:rPr>
        <w:t xml:space="preserve">	</w:t>
      </w:r>
      <w:r>
        <w:rPr>
          <w:rFonts w:ascii="Helvetica Neue" w:cs="Helvetica Neue" w:eastAsia="Helvetica Neue" w:hAnsi="Helvetica Neue"/>
          <w:color w:val="1A1612"/>
          <w:sz w:val="22"/>
          <w:szCs w:val="22"/>
        </w:rPr>
        <w:t xml:space="preserve">Strategy Sprint</w:t>
      </w:r>
    </w:p>
    <w:p>
      <w:pPr>
        <w:tabs>
          <w:tab w:val="left" w:pos="2160"/>
        </w:tabs>
        <w:spacing w:after="80" w:line="300"/>
      </w:pPr>
      <w:r>
        <w:rPr>
          <w:rFonts w:ascii="Menlo" w:cs="Menlo" w:eastAsia="Menlo" w:hAnsi="Menlo"/>
          <w:color w:val="4D453A"/>
          <w:spacing w:val="30"/>
          <w:sz w:val="18"/>
          <w:szCs w:val="18"/>
        </w:rPr>
        <w:t xml:space="preserve">DURATION</w:t>
      </w:r>
      <w:r>
        <w:rPr>
          <w:rFonts w:ascii="Helvetica Neue" w:cs="Helvetica Neue" w:eastAsia="Helvetica Neue" w:hAnsi="Helvetica Neue"/>
        </w:rPr>
        <w:t xml:space="preserve">	</w:t>
      </w:r>
      <w:r>
        <w:rPr>
          <w:rFonts w:ascii="Helvetica Neue" w:cs="Helvetica Neue" w:eastAsia="Helvetica Neue" w:hAnsi="Helvetica Neue"/>
          <w:color w:val="1A1612"/>
          <w:sz w:val="22"/>
          <w:szCs w:val="22"/>
        </w:rPr>
        <w:t xml:space="preserve">4–6 weeks from kickoff</w:t>
      </w:r>
    </w:p>
    <w:p>
      <w:pPr>
        <w:tabs>
          <w:tab w:val="left" w:pos="2160"/>
        </w:tabs>
        <w:spacing w:after="80" w:line="300"/>
      </w:pPr>
      <w:r>
        <w:rPr>
          <w:rFonts w:ascii="Menlo" w:cs="Menlo" w:eastAsia="Menlo" w:hAnsi="Menlo"/>
          <w:color w:val="4D453A"/>
          <w:spacing w:val="30"/>
          <w:sz w:val="18"/>
          <w:szCs w:val="18"/>
        </w:rPr>
        <w:t xml:space="preserve">INVESTMENT</w:t>
      </w:r>
      <w:r>
        <w:rPr>
          <w:rFonts w:ascii="Helvetica Neue" w:cs="Helvetica Neue" w:eastAsia="Helvetica Neue" w:hAnsi="Helvetica Neue"/>
        </w:rPr>
        <w:t xml:space="preserve">	</w:t>
      </w:r>
      <w:r>
        <w:rPr>
          <w:rFonts w:ascii="Helvetica Neue" w:cs="Helvetica Neue" w:eastAsia="Helvetica Neue" w:hAnsi="Helvetica Neue"/>
          <w:color w:val="1A1612"/>
          <w:sz w:val="22"/>
          <w:szCs w:val="22"/>
        </w:rPr>
        <w:t xml:space="preserve">$18,000 — 50% on signature, 50% on delivery</w:t>
      </w:r>
    </w:p>
    <w:p>
      <w:pPr>
        <w:tabs>
          <w:tab w:val="left" w:pos="2160"/>
        </w:tabs>
        <w:spacing w:after="80" w:line="300"/>
      </w:pPr>
      <w:r>
        <w:rPr>
          <w:rFonts w:ascii="Menlo" w:cs="Menlo" w:eastAsia="Menlo" w:hAnsi="Menlo"/>
          <w:color w:val="4D453A"/>
          <w:spacing w:val="30"/>
          <w:sz w:val="18"/>
          <w:szCs w:val="18"/>
        </w:rPr>
        <w:t xml:space="preserve">FORMAT</w:t>
      </w:r>
      <w:r>
        <w:rPr>
          <w:rFonts w:ascii="Helvetica Neue" w:cs="Helvetica Neue" w:eastAsia="Helvetica Neue" w:hAnsi="Helvetica Neue"/>
        </w:rPr>
        <w:t xml:space="preserve">	</w:t>
      </w:r>
      <w:r>
        <w:rPr>
          <w:rFonts w:ascii="Helvetica Neue" w:cs="Helvetica Neue" w:eastAsia="Helvetica Neue" w:hAnsi="Helvetica Neue"/>
          <w:color w:val="1A1612"/>
          <w:sz w:val="22"/>
          <w:szCs w:val="22"/>
        </w:rPr>
        <w:t xml:space="preserve">Founder-led. No junior consultants on Client work.</w:t>
      </w:r>
    </w:p>
    <w:p>
      <w:pPr>
        <w:tabs>
          <w:tab w:val="left" w:pos="2160"/>
        </w:tabs>
        <w:spacing w:after="80" w:line="300"/>
      </w:pPr>
      <w:r>
        <w:rPr>
          <w:rFonts w:ascii="Menlo" w:cs="Menlo" w:eastAsia="Menlo" w:hAnsi="Menlo"/>
          <w:color w:val="4D453A"/>
          <w:spacing w:val="30"/>
          <w:sz w:val="18"/>
          <w:szCs w:val="18"/>
        </w:rPr>
        <w:t xml:space="preserve">CAPACITY</w:t>
      </w:r>
      <w:r>
        <w:rPr>
          <w:rFonts w:ascii="Helvetica Neue" w:cs="Helvetica Neue" w:eastAsia="Helvetica Neue" w:hAnsi="Helvetica Neue"/>
        </w:rPr>
        <w:t xml:space="preserve">	</w:t>
      </w:r>
      <w:r>
        <w:rPr>
          <w:rFonts w:ascii="Helvetica Neue" w:cs="Helvetica Neue" w:eastAsia="Helvetica Neue" w:hAnsi="Helvetica Neue"/>
          <w:color w:val="1A1612"/>
          <w:sz w:val="22"/>
          <w:szCs w:val="22"/>
        </w:rPr>
        <w:t xml:space="preserve">Three engagements per quarter.</w:t>
      </w:r>
    </w:p>
    <w:p>
      <w:pPr>
        <w:spacing w:after="120" w:before="320"/>
      </w:pPr>
      <w:r>
        <w:rPr>
          <w:rFonts w:ascii="Menlo" w:cs="Menlo" w:eastAsia="Menlo" w:hAnsi="Menlo"/>
          <w:color w:val="C44510"/>
          <w:spacing w:val="40"/>
          <w:sz w:val="18"/>
          <w:szCs w:val="18"/>
        </w:rPr>
        <w:t xml:space="preserve">DELIVERABLES</w:t>
      </w:r>
    </w:p>
    <w:p>
      <w:pPr>
        <w:pStyle w:val="ListParagraph"/>
        <w:numPr>
          <w:ilvl w:val="0"/>
          <w:numId w:val="2"/>
        </w:numPr>
        <w:spacing w:after="80" w:line="300"/>
      </w:pPr>
      <w:r>
        <w:rPr>
          <w:rFonts w:ascii="Helvetica Neue" w:cs="Helvetica Neue" w:eastAsia="Helvetica Neue" w:hAnsi="Helvetica Neue"/>
          <w:color w:val="1A1612"/>
          <w:sz w:val="22"/>
          <w:szCs w:val="22"/>
        </w:rPr>
        <w:t xml:space="preserve">One-page strategic memo — written so a CEO and CFO can sign it without rewriting a sentence.</w:t>
      </w:r>
    </w:p>
    <w:p>
      <w:pPr>
        <w:pStyle w:val="ListParagraph"/>
        <w:numPr>
          <w:ilvl w:val="0"/>
          <w:numId w:val="2"/>
        </w:numPr>
        <w:spacing w:after="80" w:line="300"/>
      </w:pPr>
      <w:r>
        <w:rPr>
          <w:rFonts w:ascii="Helvetica Neue" w:cs="Helvetica Neue" w:eastAsia="Helvetica Neue" w:hAnsi="Helvetica Neue"/>
          <w:color w:val="1A1612"/>
          <w:sz w:val="22"/>
          <w:szCs w:val="22"/>
        </w:rPr>
        <w:t xml:space="preserve">Ranked ROI scorecard — every initiative scored on the same axes: defendable ROI, time-to-value, vendor risk, opportunity cost.</w:t>
      </w:r>
    </w:p>
    <w:p>
      <w:pPr>
        <w:pStyle w:val="ListParagraph"/>
        <w:numPr>
          <w:ilvl w:val="0"/>
          <w:numId w:val="2"/>
        </w:numPr>
        <w:spacing w:after="80" w:line="300"/>
      </w:pPr>
      <w:r>
        <w:rPr>
          <w:rFonts w:ascii="Helvetica Neue" w:cs="Helvetica Neue" w:eastAsia="Helvetica Neue" w:hAnsi="Helvetica Neue"/>
          <w:color w:val="1A1612"/>
          <w:sz w:val="22"/>
          <w:szCs w:val="22"/>
        </w:rPr>
        <w:t xml:space="preserve">Explicit kill list — specific, named, dated. The artifact internal teams cannot write themselves.</w:t>
      </w:r>
    </w:p>
    <w:p>
      <w:pPr>
        <w:pStyle w:val="ListParagraph"/>
        <w:numPr>
          <w:ilvl w:val="0"/>
          <w:numId w:val="2"/>
        </w:numPr>
        <w:spacing w:after="80" w:line="300"/>
      </w:pPr>
      <w:r>
        <w:rPr>
          <w:rFonts w:ascii="Helvetica Neue" w:cs="Helvetica Neue" w:eastAsia="Helvetica Neue" w:hAnsi="Helvetica Neue"/>
          <w:color w:val="1A1612"/>
          <w:sz w:val="22"/>
          <w:szCs w:val="22"/>
        </w:rPr>
        <w:t xml:space="preserve">90-day execution plan — weekly milestones with owners, decision gates, and a clean exit if reality changes.</w:t>
      </w:r>
    </w:p>
    <w:p>
      <w:pPr>
        <w:spacing w:after="120" w:before="320"/>
      </w:pPr>
      <w:r>
        <w:rPr>
          <w:rFonts w:ascii="Menlo" w:cs="Menlo" w:eastAsia="Menlo" w:hAnsi="Menlo"/>
          <w:color w:val="C44510"/>
          <w:spacing w:val="40"/>
          <w:sz w:val="18"/>
          <w:szCs w:val="18"/>
        </w:rPr>
        <w:t xml:space="preserve">OUT OF SCOPE</w:t>
      </w:r>
    </w:p>
    <w:p>
      <w:pPr>
        <w:pStyle w:val="ListParagraph"/>
        <w:numPr>
          <w:ilvl w:val="0"/>
          <w:numId w:val="3"/>
        </w:numPr>
        <w:spacing w:after="80" w:line="300"/>
      </w:pPr>
      <w:r>
        <w:rPr>
          <w:rFonts w:ascii="Helvetica Neue" w:cs="Helvetica Neue" w:eastAsia="Helvetica Neue" w:hAnsi="Helvetica Neue"/>
          <w:color w:val="1A1612"/>
          <w:sz w:val="22"/>
          <w:szCs w:val="22"/>
        </w:rPr>
        <w:t xml:space="preserve">Implementation work, software development, or model fine-tuning.</w:t>
      </w:r>
    </w:p>
    <w:p>
      <w:pPr>
        <w:pStyle w:val="ListParagraph"/>
        <w:numPr>
          <w:ilvl w:val="0"/>
          <w:numId w:val="3"/>
        </w:numPr>
        <w:spacing w:after="80" w:line="300"/>
      </w:pPr>
      <w:r>
        <w:rPr>
          <w:rFonts w:ascii="Helvetica Neue" w:cs="Helvetica Neue" w:eastAsia="Helvetica Neue" w:hAnsi="Helvetica Neue"/>
          <w:color w:val="1A1612"/>
          <w:sz w:val="22"/>
          <w:szCs w:val="22"/>
        </w:rPr>
        <w:t xml:space="preserve">Vendor procurement, contract negotiation, or RFP management.</w:t>
      </w:r>
    </w:p>
    <w:p>
      <w:pPr>
        <w:pStyle w:val="ListParagraph"/>
        <w:numPr>
          <w:ilvl w:val="0"/>
          <w:numId w:val="3"/>
        </w:numPr>
        <w:spacing w:after="80" w:line="300"/>
      </w:pPr>
      <w:r>
        <w:rPr>
          <w:rFonts w:ascii="Helvetica Neue" w:cs="Helvetica Neue" w:eastAsia="Helvetica Neue" w:hAnsi="Helvetica Neue"/>
          <w:color w:val="1A1612"/>
          <w:sz w:val="22"/>
          <w:szCs w:val="22"/>
        </w:rPr>
        <w:t xml:space="preserve">Hiring, recruiting, or staff augmentation.</w:t>
      </w:r>
    </w:p>
    <w:p>
      <w:pPr>
        <w:pStyle w:val="ListParagraph"/>
        <w:numPr>
          <w:ilvl w:val="0"/>
          <w:numId w:val="3"/>
        </w:numPr>
        <w:spacing w:after="80" w:line="300"/>
      </w:pPr>
      <w:r>
        <w:rPr>
          <w:rFonts w:ascii="Helvetica Neue" w:cs="Helvetica Neue" w:eastAsia="Helvetica Neue" w:hAnsi="Helvetica Neue"/>
          <w:color w:val="1A1612"/>
          <w:sz w:val="22"/>
          <w:szCs w:val="22"/>
        </w:rPr>
        <w:t xml:space="preserve">Anything not described in the Deliverables section above.</w:t>
      </w:r>
    </w:p>
    <w:p>
      <w:pPr>
        <w:pageBreakBefore/>
      </w:pPr>
      <w:r>
        <w:t xml:space="preserve"/>
      </w:r>
    </w:p>
    <w:p>
      <w:pPr>
        <w:spacing w:after="120" w:before="0"/>
      </w:pPr>
      <w:r>
        <w:rPr>
          <w:rFonts w:ascii="Menlo" w:cs="Menlo" w:eastAsia="Menlo" w:hAnsi="Menlo"/>
          <w:color w:val="C44510"/>
          <w:spacing w:val="40"/>
          <w:sz w:val="18"/>
          <w:szCs w:val="18"/>
        </w:rPr>
        <w:t xml:space="preserve">02 / APPROACH</w:t>
      </w:r>
    </w:p>
    <w:p>
      <w:pPr>
        <w:spacing w:after="200" w:before="60"/>
      </w:pPr>
      <w:r>
        <w:rPr>
          <w:rFonts w:ascii="Georgia" w:cs="Georgia" w:eastAsia="Georgia" w:hAnsi="Georgia"/>
          <w:color w:val="1A1612"/>
          <w:sz w:val="56"/>
          <w:szCs w:val="56"/>
        </w:rPr>
        <w:t xml:space="preserve">Three phases. One framework.</w:t>
      </w:r>
    </w:p>
    <w:p>
      <w:pPr>
        <w:spacing w:after="80" w:before="200"/>
      </w:pPr>
      <w:r>
        <w:rPr>
          <w:rFonts w:ascii="Menlo" w:cs="Menlo" w:eastAsia="Menlo" w:hAnsi="Menlo"/>
          <w:b/>
          <w:bCs/>
          <w:color w:val="C44510"/>
          <w:spacing w:val="20"/>
          <w:sz w:val="20"/>
          <w:szCs w:val="20"/>
        </w:rPr>
        <w:t xml:space="preserve">DISCOVERY — </w:t>
      </w:r>
      <w:r>
        <w:rPr>
          <w:rFonts w:ascii="Menlo" w:cs="Menlo" w:eastAsia="Menlo" w:hAnsi="Menlo"/>
          <w:color w:val="4D453A"/>
          <w:sz w:val="20"/>
          <w:szCs w:val="20"/>
        </w:rPr>
        <w:t xml:space="preserve">Weeks 1–2</w:t>
      </w:r>
    </w:p>
    <w:p>
      <w:pPr>
        <w:spacing w:after="140" w:before="0" w:line="320" w:lineRule="auto"/>
      </w:pPr>
      <w:r>
        <w:rPr>
          <w:rFonts w:ascii="Helvetica Neue" w:cs="Helvetica Neue" w:eastAsia="Helvetica Neue" w:hAnsi="Helvetica Neue"/>
          <w:color w:val="1A1612"/>
          <w:sz w:val="22"/>
          <w:szCs w:val="22"/>
        </w:rPr>
        <w:t xml:space="preserve">Studio sits with the roadmap, the vendors, the pilots, and the disagreements. Structured listening sessions with {{stakeholder list}}. No opinion is committed to paper until Discovery is complete.</w:t>
      </w:r>
    </w:p>
    <w:p>
      <w:pPr>
        <w:spacing w:after="80" w:before="200"/>
      </w:pPr>
      <w:r>
        <w:rPr>
          <w:rFonts w:ascii="Menlo" w:cs="Menlo" w:eastAsia="Menlo" w:hAnsi="Menlo"/>
          <w:b/>
          <w:bCs/>
          <w:color w:val="C44510"/>
          <w:spacing w:val="20"/>
          <w:sz w:val="20"/>
          <w:szCs w:val="20"/>
        </w:rPr>
        <w:t xml:space="preserve">DIAGNOSTIC — </w:t>
      </w:r>
      <w:r>
        <w:rPr>
          <w:rFonts w:ascii="Menlo" w:cs="Menlo" w:eastAsia="Menlo" w:hAnsi="Menlo"/>
          <w:color w:val="4D453A"/>
          <w:sz w:val="20"/>
          <w:szCs w:val="20"/>
        </w:rPr>
        <w:t xml:space="preserve">Weeks 3–4</w:t>
      </w:r>
    </w:p>
    <w:p>
      <w:pPr>
        <w:spacing w:after="140" w:before="0" w:line="320" w:lineRule="auto"/>
      </w:pPr>
      <w:r>
        <w:rPr>
          <w:rFonts w:ascii="Helvetica Neue" w:cs="Helvetica Neue" w:eastAsia="Helvetica Neue" w:hAnsi="Helvetica Neue"/>
          <w:color w:val="1A1612"/>
          <w:sz w:val="22"/>
          <w:szCs w:val="22"/>
        </w:rPr>
        <w:t xml:space="preserve">Every initiative scored on the same axes — defendable ROI, time-to-value, vendor risk, opportunity cost. {{Client-specific scoring inputs go here.}} Output is a ranked scorecard and a draft kill list.</w:t>
      </w:r>
    </w:p>
    <w:p>
      <w:pPr>
        <w:spacing w:after="80" w:before="200"/>
      </w:pPr>
      <w:r>
        <w:rPr>
          <w:rFonts w:ascii="Menlo" w:cs="Menlo" w:eastAsia="Menlo" w:hAnsi="Menlo"/>
          <w:b/>
          <w:bCs/>
          <w:color w:val="C44510"/>
          <w:spacing w:val="20"/>
          <w:sz w:val="20"/>
          <w:szCs w:val="20"/>
        </w:rPr>
        <w:t xml:space="preserve">SYNTHESIS — </w:t>
      </w:r>
      <w:r>
        <w:rPr>
          <w:rFonts w:ascii="Menlo" w:cs="Menlo" w:eastAsia="Menlo" w:hAnsi="Menlo"/>
          <w:color w:val="4D453A"/>
          <w:sz w:val="20"/>
          <w:szCs w:val="20"/>
        </w:rPr>
        <w:t xml:space="preserve">Weeks 5–6</w:t>
      </w:r>
    </w:p>
    <w:p>
      <w:pPr>
        <w:spacing w:after="140" w:before="0" w:line="320" w:lineRule="auto"/>
      </w:pPr>
      <w:r>
        <w:rPr>
          <w:rFonts w:ascii="Helvetica Neue" w:cs="Helvetica Neue" w:eastAsia="Helvetica Neue" w:hAnsi="Helvetica Neue"/>
          <w:color w:val="1A1612"/>
          <w:sz w:val="22"/>
          <w:szCs w:val="22"/>
        </w:rPr>
        <w:t xml:space="preserve">Studio writes the strategic memo, finalizes the kill list with named items, and builds the 90-day execution plan with weekly milestones. Final readout to {{CEO + CFO + named stakeholders}}.</w:t>
      </w:r>
    </w:p>
    <w:p>
      <w:pPr>
        <w:spacing w:after="120" w:before="360"/>
      </w:pPr>
      <w:r>
        <w:rPr>
          <w:rFonts w:ascii="Menlo" w:cs="Menlo" w:eastAsia="Menlo" w:hAnsi="Menlo"/>
          <w:color w:val="C44510"/>
          <w:spacing w:val="40"/>
          <w:sz w:val="18"/>
          <w:szCs w:val="18"/>
        </w:rPr>
        <w:t xml:space="preserve">03 /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C9BC97" w:sz="4"/>
              <w:left w:val="single" w:color="C9BC97" w:sz="4"/>
              <w:bottom w:val="single" w:color="C9BC97" w:sz="4"/>
              <w:right w:val="single" w:color="C9BC97" w:sz="4"/>
            </w:tcBorders>
            <w:shd w:fill="1A1612" w:color="auto" w:val="clear"/>
            <w:tcMar>
              <w:top w:type="dxa" w:w="120"/>
              <w:left w:type="dxa" w:w="160"/>
              <w:bottom w:type="dxa" w:w="120"/>
              <w:right w:type="dxa" w:w="160"/>
            </w:tcMar>
          </w:tcPr>
          <w:p>
            <w:r>
              <w:rPr>
                <w:rFonts w:ascii="Menlo" w:cs="Menlo" w:eastAsia="Menlo" w:hAnsi="Menlo"/>
                <w:color w:val="F0E8D8"/>
                <w:spacing w:val="40"/>
                <w:sz w:val="18"/>
                <w:szCs w:val="18"/>
              </w:rPr>
              <w:t xml:space="preserve">WEEK</w:t>
            </w:r>
          </w:p>
        </w:tc>
        <w:tc>
          <w:tcPr>
            <w:tcW w:type="dxa" w:w="4080"/>
            <w:tcBorders>
              <w:top w:val="single" w:color="C9BC97" w:sz="4"/>
              <w:left w:val="single" w:color="C9BC97" w:sz="4"/>
              <w:bottom w:val="single" w:color="C9BC97" w:sz="4"/>
              <w:right w:val="single" w:color="C9BC97" w:sz="4"/>
            </w:tcBorders>
            <w:shd w:fill="1A1612" w:color="auto" w:val="clear"/>
            <w:tcMar>
              <w:top w:type="dxa" w:w="120"/>
              <w:left w:type="dxa" w:w="160"/>
              <w:bottom w:type="dxa" w:w="120"/>
              <w:right w:type="dxa" w:w="160"/>
            </w:tcMar>
          </w:tcPr>
          <w:p>
            <w:r>
              <w:rPr>
                <w:rFonts w:ascii="Menlo" w:cs="Menlo" w:eastAsia="Menlo" w:hAnsi="Menlo"/>
                <w:color w:val="F0E8D8"/>
                <w:spacing w:val="40"/>
                <w:sz w:val="18"/>
                <w:szCs w:val="18"/>
              </w:rPr>
              <w:t xml:space="preserve">MILESTONE</w:t>
            </w:r>
          </w:p>
        </w:tc>
        <w:tc>
          <w:tcPr>
            <w:tcW w:type="dxa" w:w="4080"/>
            <w:tcBorders>
              <w:top w:val="single" w:color="C9BC97" w:sz="4"/>
              <w:left w:val="single" w:color="C9BC97" w:sz="4"/>
              <w:bottom w:val="single" w:color="C9BC97" w:sz="4"/>
              <w:right w:val="single" w:color="C9BC97" w:sz="4"/>
            </w:tcBorders>
            <w:shd w:fill="1A1612" w:color="auto" w:val="clear"/>
            <w:tcMar>
              <w:top w:type="dxa" w:w="120"/>
              <w:left w:type="dxa" w:w="160"/>
              <w:bottom w:type="dxa" w:w="120"/>
              <w:right w:type="dxa" w:w="160"/>
            </w:tcMar>
          </w:tcPr>
          <w:p>
            <w:r>
              <w:rPr>
                <w:rFonts w:ascii="Menlo" w:cs="Menlo" w:eastAsia="Menlo" w:hAnsi="Menlo"/>
                <w:color w:val="F0E8D8"/>
                <w:spacing w:val="40"/>
                <w:sz w:val="18"/>
                <w:szCs w:val="18"/>
              </w:rPr>
              <w:t xml:space="preserve">OUTPUT</w:t>
            </w:r>
          </w:p>
        </w:tc>
      </w:tr>
      <w:tr>
        <w:tc>
          <w:tcPr>
            <w:tcW w:type="dxa" w:w="1200"/>
            <w:tcBorders>
              <w:top w:val="single" w:color="C9BC97" w:sz="4"/>
              <w:left w:val="single" w:color="C9BC97" w:sz="4"/>
              <w:bottom w:val="single" w:color="C9BC97" w:sz="4"/>
              <w:right w:val="single" w:color="C9BC97" w:sz="4"/>
            </w:tcBorders>
            <w:shd w:fill="FAF6EC" w:color="auto" w:val="clear"/>
            <w:tcMar>
              <w:top w:type="dxa" w:w="100"/>
              <w:left w:type="dxa" w:w="160"/>
              <w:bottom w:type="dxa" w:w="100"/>
              <w:right w:type="dxa" w:w="160"/>
            </w:tcMar>
          </w:tcPr>
          <w:p>
            <w:r>
              <w:rPr>
                <w:rFonts w:ascii="Menlo" w:cs="Menlo" w:eastAsia="Menlo" w:hAnsi="Menlo"/>
                <w:b/>
                <w:bCs/>
                <w:color w:val="C44510"/>
                <w:sz w:val="20"/>
                <w:szCs w:val="20"/>
              </w:rPr>
              <w:t xml:space="preserve">W1</w:t>
            </w:r>
          </w:p>
        </w:tc>
        <w:tc>
          <w:tcPr>
            <w:tcW w:type="dxa" w:w="4080"/>
            <w:tcBorders>
              <w:top w:val="single" w:color="C9BC97" w:sz="4"/>
              <w:left w:val="single" w:color="C9BC97" w:sz="4"/>
              <w:bottom w:val="single" w:color="C9BC97" w:sz="4"/>
              <w:right w:val="single" w:color="C9BC97" w:sz="4"/>
            </w:tcBorders>
            <w:shd w:fill="FAF6EC" w:color="auto" w:val="clear"/>
            <w:tcMar>
              <w:top w:type="dxa" w:w="100"/>
              <w:left w:type="dxa" w:w="160"/>
              <w:bottom w:type="dxa" w:w="100"/>
              <w:right w:type="dxa" w:w="160"/>
            </w:tcMar>
          </w:tcPr>
          <w:p>
            <w:r>
              <w:rPr>
                <w:rFonts w:ascii="Helvetica Neue" w:cs="Helvetica Neue" w:eastAsia="Helvetica Neue" w:hAnsi="Helvetica Neue"/>
                <w:b w:val="false"/>
                <w:bCs w:val="false"/>
                <w:color w:val="1A1612"/>
                <w:sz w:val="22"/>
                <w:szCs w:val="22"/>
              </w:rPr>
              <w:t xml:space="preserve">Kickoff &amp; stakeholder mapping</w:t>
            </w:r>
          </w:p>
        </w:tc>
        <w:tc>
          <w:tcPr>
            <w:tcW w:type="dxa" w:w="4080"/>
            <w:tcBorders>
              <w:top w:val="single" w:color="C9BC97" w:sz="4"/>
              <w:left w:val="single" w:color="C9BC97" w:sz="4"/>
              <w:bottom w:val="single" w:color="C9BC97" w:sz="4"/>
              <w:right w:val="single" w:color="C9BC97" w:sz="4"/>
            </w:tcBorders>
            <w:shd w:fill="FAF6EC" w:color="auto" w:val="clear"/>
            <w:tcMar>
              <w:top w:type="dxa" w:w="100"/>
              <w:left w:type="dxa" w:w="160"/>
              <w:bottom w:type="dxa" w:w="100"/>
              <w:right w:type="dxa" w:w="160"/>
            </w:tcMar>
          </w:tcPr>
          <w:p>
            <w:r>
              <w:rPr>
                <w:rFonts w:ascii="Helvetica Neue" w:cs="Helvetica Neue" w:eastAsia="Helvetica Neue" w:hAnsi="Helvetica Neue"/>
                <w:b w:val="false"/>
                <w:bCs w:val="false"/>
                <w:color w:val="1A1612"/>
                <w:sz w:val="22"/>
                <w:szCs w:val="22"/>
              </w:rPr>
              <w:t xml:space="preserve">Discovery brief</w:t>
            </w:r>
          </w:p>
        </w:tc>
      </w:tr>
      <w:tr>
        <w:tc>
          <w:tcPr>
            <w:tcW w:type="dxa" w:w="1200"/>
            <w:tcBorders>
              <w:top w:val="single" w:color="C9BC97" w:sz="4"/>
              <w:left w:val="single" w:color="C9BC97" w:sz="4"/>
              <w:bottom w:val="single" w:color="C9BC97" w:sz="4"/>
              <w:right w:val="single" w:color="C9BC97" w:sz="4"/>
            </w:tcBorders>
            <w:shd w:fill="F4EFE4" w:color="auto" w:val="clear"/>
            <w:tcMar>
              <w:top w:type="dxa" w:w="100"/>
              <w:left w:type="dxa" w:w="160"/>
              <w:bottom w:type="dxa" w:w="100"/>
              <w:right w:type="dxa" w:w="160"/>
            </w:tcMar>
          </w:tcPr>
          <w:p>
            <w:r>
              <w:rPr>
                <w:rFonts w:ascii="Menlo" w:cs="Menlo" w:eastAsia="Menlo" w:hAnsi="Menlo"/>
                <w:b/>
                <w:bCs/>
                <w:color w:val="C44510"/>
                <w:sz w:val="20"/>
                <w:szCs w:val="20"/>
              </w:rPr>
              <w:t xml:space="preserve">W2</w:t>
            </w:r>
          </w:p>
        </w:tc>
        <w:tc>
          <w:tcPr>
            <w:tcW w:type="dxa" w:w="4080"/>
            <w:tcBorders>
              <w:top w:val="single" w:color="C9BC97" w:sz="4"/>
              <w:left w:val="single" w:color="C9BC97" w:sz="4"/>
              <w:bottom w:val="single" w:color="C9BC97" w:sz="4"/>
              <w:right w:val="single" w:color="C9BC97" w:sz="4"/>
            </w:tcBorders>
            <w:shd w:fill="F4EFE4" w:color="auto" w:val="clear"/>
            <w:tcMar>
              <w:top w:type="dxa" w:w="100"/>
              <w:left w:type="dxa" w:w="160"/>
              <w:bottom w:type="dxa" w:w="100"/>
              <w:right w:type="dxa" w:w="160"/>
            </w:tcMar>
          </w:tcPr>
          <w:p>
            <w:r>
              <w:rPr>
                <w:rFonts w:ascii="Helvetica Neue" w:cs="Helvetica Neue" w:eastAsia="Helvetica Neue" w:hAnsi="Helvetica Neue"/>
                <w:b w:val="false"/>
                <w:bCs w:val="false"/>
                <w:color w:val="1A1612"/>
                <w:sz w:val="22"/>
                <w:szCs w:val="22"/>
              </w:rPr>
              <w:t xml:space="preserve">Roadmap walkthrough &amp; vendor review</w:t>
            </w:r>
          </w:p>
        </w:tc>
        <w:tc>
          <w:tcPr>
            <w:tcW w:type="dxa" w:w="4080"/>
            <w:tcBorders>
              <w:top w:val="single" w:color="C9BC97" w:sz="4"/>
              <w:left w:val="single" w:color="C9BC97" w:sz="4"/>
              <w:bottom w:val="single" w:color="C9BC97" w:sz="4"/>
              <w:right w:val="single" w:color="C9BC97" w:sz="4"/>
            </w:tcBorders>
            <w:shd w:fill="F4EFE4" w:color="auto" w:val="clear"/>
            <w:tcMar>
              <w:top w:type="dxa" w:w="100"/>
              <w:left w:type="dxa" w:w="160"/>
              <w:bottom w:type="dxa" w:w="100"/>
              <w:right w:type="dxa" w:w="160"/>
            </w:tcMar>
          </w:tcPr>
          <w:p>
            <w:r>
              <w:rPr>
                <w:rFonts w:ascii="Helvetica Neue" w:cs="Helvetica Neue" w:eastAsia="Helvetica Neue" w:hAnsi="Helvetica Neue"/>
                <w:b w:val="false"/>
                <w:bCs w:val="false"/>
                <w:color w:val="1A1612"/>
                <w:sz w:val="22"/>
                <w:szCs w:val="22"/>
              </w:rPr>
              <w:t xml:space="preserve">Discovery memo (draft)</w:t>
            </w:r>
          </w:p>
        </w:tc>
      </w:tr>
      <w:tr>
        <w:tc>
          <w:tcPr>
            <w:tcW w:type="dxa" w:w="1200"/>
            <w:tcBorders>
              <w:top w:val="single" w:color="C9BC97" w:sz="4"/>
              <w:left w:val="single" w:color="C9BC97" w:sz="4"/>
              <w:bottom w:val="single" w:color="C9BC97" w:sz="4"/>
              <w:right w:val="single" w:color="C9BC97" w:sz="4"/>
            </w:tcBorders>
            <w:shd w:fill="FAF6EC" w:color="auto" w:val="clear"/>
            <w:tcMar>
              <w:top w:type="dxa" w:w="100"/>
              <w:left w:type="dxa" w:w="160"/>
              <w:bottom w:type="dxa" w:w="100"/>
              <w:right w:type="dxa" w:w="160"/>
            </w:tcMar>
          </w:tcPr>
          <w:p>
            <w:r>
              <w:rPr>
                <w:rFonts w:ascii="Menlo" w:cs="Menlo" w:eastAsia="Menlo" w:hAnsi="Menlo"/>
                <w:b/>
                <w:bCs/>
                <w:color w:val="C44510"/>
                <w:sz w:val="20"/>
                <w:szCs w:val="20"/>
              </w:rPr>
              <w:t xml:space="preserve">W3</w:t>
            </w:r>
          </w:p>
        </w:tc>
        <w:tc>
          <w:tcPr>
            <w:tcW w:type="dxa" w:w="4080"/>
            <w:tcBorders>
              <w:top w:val="single" w:color="C9BC97" w:sz="4"/>
              <w:left w:val="single" w:color="C9BC97" w:sz="4"/>
              <w:bottom w:val="single" w:color="C9BC97" w:sz="4"/>
              <w:right w:val="single" w:color="C9BC97" w:sz="4"/>
            </w:tcBorders>
            <w:shd w:fill="FAF6EC" w:color="auto" w:val="clear"/>
            <w:tcMar>
              <w:top w:type="dxa" w:w="100"/>
              <w:left w:type="dxa" w:w="160"/>
              <w:bottom w:type="dxa" w:w="100"/>
              <w:right w:type="dxa" w:w="160"/>
            </w:tcMar>
          </w:tcPr>
          <w:p>
            <w:r>
              <w:rPr>
                <w:rFonts w:ascii="Helvetica Neue" w:cs="Helvetica Neue" w:eastAsia="Helvetica Neue" w:hAnsi="Helvetica Neue"/>
                <w:b w:val="false"/>
                <w:bCs w:val="false"/>
                <w:color w:val="1A1612"/>
                <w:sz w:val="22"/>
                <w:szCs w:val="22"/>
              </w:rPr>
              <w:t xml:space="preserve">Pilot ROI deep-dive</w:t>
            </w:r>
          </w:p>
        </w:tc>
        <w:tc>
          <w:tcPr>
            <w:tcW w:type="dxa" w:w="4080"/>
            <w:tcBorders>
              <w:top w:val="single" w:color="C9BC97" w:sz="4"/>
              <w:left w:val="single" w:color="C9BC97" w:sz="4"/>
              <w:bottom w:val="single" w:color="C9BC97" w:sz="4"/>
              <w:right w:val="single" w:color="C9BC97" w:sz="4"/>
            </w:tcBorders>
            <w:shd w:fill="FAF6EC" w:color="auto" w:val="clear"/>
            <w:tcMar>
              <w:top w:type="dxa" w:w="100"/>
              <w:left w:type="dxa" w:w="160"/>
              <w:bottom w:type="dxa" w:w="100"/>
              <w:right w:type="dxa" w:w="160"/>
            </w:tcMar>
          </w:tcPr>
          <w:p>
            <w:r>
              <w:rPr>
                <w:rFonts w:ascii="Helvetica Neue" w:cs="Helvetica Neue" w:eastAsia="Helvetica Neue" w:hAnsi="Helvetica Neue"/>
                <w:b w:val="false"/>
                <w:bCs w:val="false"/>
                <w:color w:val="1A1612"/>
                <w:sz w:val="22"/>
                <w:szCs w:val="22"/>
              </w:rPr>
              <w:t xml:space="preserve">Scoring framework applied</w:t>
            </w:r>
          </w:p>
        </w:tc>
      </w:tr>
      <w:tr>
        <w:tc>
          <w:tcPr>
            <w:tcW w:type="dxa" w:w="1200"/>
            <w:tcBorders>
              <w:top w:val="single" w:color="C9BC97" w:sz="4"/>
              <w:left w:val="single" w:color="C9BC97" w:sz="4"/>
              <w:bottom w:val="single" w:color="C9BC97" w:sz="4"/>
              <w:right w:val="single" w:color="C9BC97" w:sz="4"/>
            </w:tcBorders>
            <w:shd w:fill="F4EFE4" w:color="auto" w:val="clear"/>
            <w:tcMar>
              <w:top w:type="dxa" w:w="100"/>
              <w:left w:type="dxa" w:w="160"/>
              <w:bottom w:type="dxa" w:w="100"/>
              <w:right w:type="dxa" w:w="160"/>
            </w:tcMar>
          </w:tcPr>
          <w:p>
            <w:r>
              <w:rPr>
                <w:rFonts w:ascii="Menlo" w:cs="Menlo" w:eastAsia="Menlo" w:hAnsi="Menlo"/>
                <w:b/>
                <w:bCs/>
                <w:color w:val="C44510"/>
                <w:sz w:val="20"/>
                <w:szCs w:val="20"/>
              </w:rPr>
              <w:t xml:space="preserve">W4</w:t>
            </w:r>
          </w:p>
        </w:tc>
        <w:tc>
          <w:tcPr>
            <w:tcW w:type="dxa" w:w="4080"/>
            <w:tcBorders>
              <w:top w:val="single" w:color="C9BC97" w:sz="4"/>
              <w:left w:val="single" w:color="C9BC97" w:sz="4"/>
              <w:bottom w:val="single" w:color="C9BC97" w:sz="4"/>
              <w:right w:val="single" w:color="C9BC97" w:sz="4"/>
            </w:tcBorders>
            <w:shd w:fill="F4EFE4" w:color="auto" w:val="clear"/>
            <w:tcMar>
              <w:top w:type="dxa" w:w="100"/>
              <w:left w:type="dxa" w:w="160"/>
              <w:bottom w:type="dxa" w:w="100"/>
              <w:right w:type="dxa" w:w="160"/>
            </w:tcMar>
          </w:tcPr>
          <w:p>
            <w:r>
              <w:rPr>
                <w:rFonts w:ascii="Helvetica Neue" w:cs="Helvetica Neue" w:eastAsia="Helvetica Neue" w:hAnsi="Helvetica Neue"/>
                <w:b w:val="false"/>
                <w:bCs w:val="false"/>
                <w:color w:val="1A1612"/>
                <w:sz w:val="22"/>
                <w:szCs w:val="22"/>
              </w:rPr>
              <w:t xml:space="preserve">Synthesis working session</w:t>
            </w:r>
          </w:p>
        </w:tc>
        <w:tc>
          <w:tcPr>
            <w:tcW w:type="dxa" w:w="4080"/>
            <w:tcBorders>
              <w:top w:val="single" w:color="C9BC97" w:sz="4"/>
              <w:left w:val="single" w:color="C9BC97" w:sz="4"/>
              <w:bottom w:val="single" w:color="C9BC97" w:sz="4"/>
              <w:right w:val="single" w:color="C9BC97" w:sz="4"/>
            </w:tcBorders>
            <w:shd w:fill="F4EFE4" w:color="auto" w:val="clear"/>
            <w:tcMar>
              <w:top w:type="dxa" w:w="100"/>
              <w:left w:type="dxa" w:w="160"/>
              <w:bottom w:type="dxa" w:w="100"/>
              <w:right w:type="dxa" w:w="160"/>
            </w:tcMar>
          </w:tcPr>
          <w:p>
            <w:r>
              <w:rPr>
                <w:rFonts w:ascii="Helvetica Neue" w:cs="Helvetica Neue" w:eastAsia="Helvetica Neue" w:hAnsi="Helvetica Neue"/>
                <w:b w:val="false"/>
                <w:bCs w:val="false"/>
                <w:color w:val="1A1612"/>
                <w:sz w:val="22"/>
                <w:szCs w:val="22"/>
              </w:rPr>
              <w:t xml:space="preserve">Ranked ROI scorecard (draft)</w:t>
            </w:r>
          </w:p>
        </w:tc>
      </w:tr>
      <w:tr>
        <w:tc>
          <w:tcPr>
            <w:tcW w:type="dxa" w:w="1200"/>
            <w:tcBorders>
              <w:top w:val="single" w:color="C9BC97" w:sz="4"/>
              <w:left w:val="single" w:color="C9BC97" w:sz="4"/>
              <w:bottom w:val="single" w:color="C9BC97" w:sz="4"/>
              <w:right w:val="single" w:color="C9BC97" w:sz="4"/>
            </w:tcBorders>
            <w:shd w:fill="FAF6EC" w:color="auto" w:val="clear"/>
            <w:tcMar>
              <w:top w:type="dxa" w:w="100"/>
              <w:left w:type="dxa" w:w="160"/>
              <w:bottom w:type="dxa" w:w="100"/>
              <w:right w:type="dxa" w:w="160"/>
            </w:tcMar>
          </w:tcPr>
          <w:p>
            <w:r>
              <w:rPr>
                <w:rFonts w:ascii="Menlo" w:cs="Menlo" w:eastAsia="Menlo" w:hAnsi="Menlo"/>
                <w:b/>
                <w:bCs/>
                <w:color w:val="C44510"/>
                <w:sz w:val="20"/>
                <w:szCs w:val="20"/>
              </w:rPr>
              <w:t xml:space="preserve">W5</w:t>
            </w:r>
          </w:p>
        </w:tc>
        <w:tc>
          <w:tcPr>
            <w:tcW w:type="dxa" w:w="4080"/>
            <w:tcBorders>
              <w:top w:val="single" w:color="C9BC97" w:sz="4"/>
              <w:left w:val="single" w:color="C9BC97" w:sz="4"/>
              <w:bottom w:val="single" w:color="C9BC97" w:sz="4"/>
              <w:right w:val="single" w:color="C9BC97" w:sz="4"/>
            </w:tcBorders>
            <w:shd w:fill="FAF6EC" w:color="auto" w:val="clear"/>
            <w:tcMar>
              <w:top w:type="dxa" w:w="100"/>
              <w:left w:type="dxa" w:w="160"/>
              <w:bottom w:type="dxa" w:w="100"/>
              <w:right w:type="dxa" w:w="160"/>
            </w:tcMar>
          </w:tcPr>
          <w:p>
            <w:r>
              <w:rPr>
                <w:rFonts w:ascii="Helvetica Neue" w:cs="Helvetica Neue" w:eastAsia="Helvetica Neue" w:hAnsi="Helvetica Neue"/>
                <w:b w:val="false"/>
                <w:bCs w:val="false"/>
                <w:color w:val="1A1612"/>
                <w:sz w:val="22"/>
                <w:szCs w:val="22"/>
              </w:rPr>
              <w:t xml:space="preserve">Memo &amp; kill list drafting</w:t>
            </w:r>
          </w:p>
        </w:tc>
        <w:tc>
          <w:tcPr>
            <w:tcW w:type="dxa" w:w="4080"/>
            <w:tcBorders>
              <w:top w:val="single" w:color="C9BC97" w:sz="4"/>
              <w:left w:val="single" w:color="C9BC97" w:sz="4"/>
              <w:bottom w:val="single" w:color="C9BC97" w:sz="4"/>
              <w:right w:val="single" w:color="C9BC97" w:sz="4"/>
            </w:tcBorders>
            <w:shd w:fill="FAF6EC" w:color="auto" w:val="clear"/>
            <w:tcMar>
              <w:top w:type="dxa" w:w="100"/>
              <w:left w:type="dxa" w:w="160"/>
              <w:bottom w:type="dxa" w:w="100"/>
              <w:right w:type="dxa" w:w="160"/>
            </w:tcMar>
          </w:tcPr>
          <w:p>
            <w:r>
              <w:rPr>
                <w:rFonts w:ascii="Helvetica Neue" w:cs="Helvetica Neue" w:eastAsia="Helvetica Neue" w:hAnsi="Helvetica Neue"/>
                <w:b w:val="false"/>
                <w:bCs w:val="false"/>
                <w:color w:val="1A1612"/>
                <w:sz w:val="22"/>
                <w:szCs w:val="22"/>
              </w:rPr>
              <w:t xml:space="preserve">Strategic memo (v1)</w:t>
            </w:r>
          </w:p>
        </w:tc>
      </w:tr>
      <w:tr>
        <w:tc>
          <w:tcPr>
            <w:tcW w:type="dxa" w:w="1200"/>
            <w:tcBorders>
              <w:top w:val="single" w:color="C9BC97" w:sz="4"/>
              <w:left w:val="single" w:color="C9BC97" w:sz="4"/>
              <w:bottom w:val="single" w:color="C9BC97" w:sz="4"/>
              <w:right w:val="single" w:color="C9BC97" w:sz="4"/>
            </w:tcBorders>
            <w:shd w:fill="F4EFE4" w:color="auto" w:val="clear"/>
            <w:tcMar>
              <w:top w:type="dxa" w:w="100"/>
              <w:left w:type="dxa" w:w="160"/>
              <w:bottom w:type="dxa" w:w="100"/>
              <w:right w:type="dxa" w:w="160"/>
            </w:tcMar>
          </w:tcPr>
          <w:p>
            <w:r>
              <w:rPr>
                <w:rFonts w:ascii="Menlo" w:cs="Menlo" w:eastAsia="Menlo" w:hAnsi="Menlo"/>
                <w:b/>
                <w:bCs/>
                <w:color w:val="C44510"/>
                <w:sz w:val="20"/>
                <w:szCs w:val="20"/>
              </w:rPr>
              <w:t xml:space="preserve">W6</w:t>
            </w:r>
          </w:p>
        </w:tc>
        <w:tc>
          <w:tcPr>
            <w:tcW w:type="dxa" w:w="4080"/>
            <w:tcBorders>
              <w:top w:val="single" w:color="C9BC97" w:sz="4"/>
              <w:left w:val="single" w:color="C9BC97" w:sz="4"/>
              <w:bottom w:val="single" w:color="C9BC97" w:sz="4"/>
              <w:right w:val="single" w:color="C9BC97" w:sz="4"/>
            </w:tcBorders>
            <w:shd w:fill="F4EFE4" w:color="auto" w:val="clear"/>
            <w:tcMar>
              <w:top w:type="dxa" w:w="100"/>
              <w:left w:type="dxa" w:w="160"/>
              <w:bottom w:type="dxa" w:w="100"/>
              <w:right w:type="dxa" w:w="160"/>
            </w:tcMar>
          </w:tcPr>
          <w:p>
            <w:r>
              <w:rPr>
                <w:rFonts w:ascii="Helvetica Neue" w:cs="Helvetica Neue" w:eastAsia="Helvetica Neue" w:hAnsi="Helvetica Neue"/>
                <w:b w:val="false"/>
                <w:bCs w:val="false"/>
                <w:color w:val="1A1612"/>
                <w:sz w:val="22"/>
                <w:szCs w:val="22"/>
              </w:rPr>
              <w:t xml:space="preserve">Final readout</w:t>
            </w:r>
          </w:p>
        </w:tc>
        <w:tc>
          <w:tcPr>
            <w:tcW w:type="dxa" w:w="4080"/>
            <w:tcBorders>
              <w:top w:val="single" w:color="C9BC97" w:sz="4"/>
              <w:left w:val="single" w:color="C9BC97" w:sz="4"/>
              <w:bottom w:val="single" w:color="C9BC97" w:sz="4"/>
              <w:right w:val="single" w:color="C9BC97" w:sz="4"/>
            </w:tcBorders>
            <w:shd w:fill="F4EFE4" w:color="auto" w:val="clear"/>
            <w:tcMar>
              <w:top w:type="dxa" w:w="100"/>
              <w:left w:type="dxa" w:w="160"/>
              <w:bottom w:type="dxa" w:w="100"/>
              <w:right w:type="dxa" w:w="160"/>
            </w:tcMar>
          </w:tcPr>
          <w:p>
            <w:r>
              <w:rPr>
                <w:rFonts w:ascii="Helvetica Neue" w:cs="Helvetica Neue" w:eastAsia="Helvetica Neue" w:hAnsi="Helvetica Neue"/>
                <w:b w:val="false"/>
                <w:bCs w:val="false"/>
                <w:color w:val="1A1612"/>
                <w:sz w:val="22"/>
                <w:szCs w:val="22"/>
              </w:rPr>
              <w:t xml:space="preserve">All four artifacts delivered</w:t>
            </w:r>
          </w:p>
        </w:tc>
      </w:tr>
    </w:tbl>
    <w:p>
      <w:pPr>
        <w:spacing w:after="0" w:before="200"/>
      </w:pPr>
      <w:r>
        <w:rPr>
          <w:rFonts w:ascii="Helvetica Neue" w:cs="Helvetica Neue" w:eastAsia="Helvetica Neue" w:hAnsi="Helvetica Neue"/>
          <w:i/>
          <w:iCs/>
          <w:color w:val="4D453A"/>
          <w:sz w:val="20"/>
          <w:szCs w:val="20"/>
        </w:rPr>
        <w:t xml:space="preserve">Engagement runs concurrent with Client’s normal operating cadence.</w:t>
      </w:r>
    </w:p>
    <w:p>
      <w:pPr>
        <w:pageBreakBefore/>
      </w:pPr>
      <w:r>
        <w:t xml:space="preserve"/>
      </w:r>
    </w:p>
    <w:p>
      <w:pPr>
        <w:spacing w:after="120" w:before="0"/>
      </w:pPr>
      <w:r>
        <w:rPr>
          <w:rFonts w:ascii="Menlo" w:cs="Menlo" w:eastAsia="Menlo" w:hAnsi="Menlo"/>
          <w:color w:val="C44510"/>
          <w:spacing w:val="40"/>
          <w:sz w:val="18"/>
          <w:szCs w:val="18"/>
        </w:rPr>
        <w:t xml:space="preserve">04 / TERMS</w:t>
      </w:r>
    </w:p>
    <w:p>
      <w:pPr>
        <w:spacing w:after="140" w:before="60"/>
      </w:pPr>
      <w:r>
        <w:rPr>
          <w:rFonts w:ascii="Georgia" w:cs="Georgia" w:eastAsia="Georgia" w:hAnsi="Georgia"/>
          <w:color w:val="1A1612"/>
          <w:sz w:val="56"/>
          <w:szCs w:val="56"/>
        </w:rPr>
        <w:t xml:space="preserve">Plain-language terms.</w:t>
      </w:r>
    </w:p>
    <w:p>
      <w:pPr>
        <w:spacing w:after="60" w:before="160"/>
      </w:pPr>
      <w:r>
        <w:rPr>
          <w:rFonts w:ascii="Menlo" w:cs="Menlo" w:eastAsia="Menlo" w:hAnsi="Menlo"/>
          <w:color w:val="C44510"/>
          <w:spacing w:val="40"/>
          <w:sz w:val="18"/>
          <w:szCs w:val="18"/>
        </w:rPr>
        <w:t xml:space="preserve">CONFIDENTIALITY</w:t>
      </w:r>
    </w:p>
    <w:p>
      <w:pPr>
        <w:spacing w:after="80" w:before="0" w:line="280" w:lineRule="auto"/>
      </w:pPr>
      <w:r>
        <w:rPr>
          <w:rFonts w:ascii="Helvetica Neue" w:cs="Helvetica Neue" w:eastAsia="Helvetica Neue" w:hAnsi="Helvetica Neue"/>
          <w:color w:val="1A1612"/>
          <w:sz w:val="21"/>
          <w:szCs w:val="21"/>
        </w:rPr>
        <w:t xml:space="preserve">All non-public information shared during the engagement is held in confidence and used only for the purpose of delivering the work. Obligations survive termination indefinitely for trade secrets and for two years for other confidential information.</w:t>
      </w:r>
    </w:p>
    <w:p>
      <w:pPr>
        <w:spacing w:after="60" w:before="160"/>
      </w:pPr>
      <w:r>
        <w:rPr>
          <w:rFonts w:ascii="Menlo" w:cs="Menlo" w:eastAsia="Menlo" w:hAnsi="Menlo"/>
          <w:color w:val="C44510"/>
          <w:spacing w:val="40"/>
          <w:sz w:val="18"/>
          <w:szCs w:val="18"/>
        </w:rPr>
        <w:t xml:space="preserve">INTELLECTUAL PROPERTY</w:t>
      </w:r>
    </w:p>
    <w:p>
      <w:pPr>
        <w:spacing w:after="80" w:before="0" w:line="280" w:lineRule="auto"/>
      </w:pPr>
      <w:r>
        <w:rPr>
          <w:rFonts w:ascii="Helvetica Neue" w:cs="Helvetica Neue" w:eastAsia="Helvetica Neue" w:hAnsi="Helvetica Neue"/>
          <w:color w:val="1A1612"/>
          <w:sz w:val="21"/>
          <w:szCs w:val="21"/>
        </w:rPr>
        <w:t xml:space="preserve">On full payment, Client owns all deliverables produced specifically for Client — the memo, scorecard, kill list, and execution plan. Studio retains ownership of pre-existing frameworks, methods, and tools used to produce them.</w:t>
      </w:r>
    </w:p>
    <w:p>
      <w:pPr>
        <w:spacing w:after="60" w:before="160"/>
      </w:pPr>
      <w:r>
        <w:rPr>
          <w:rFonts w:ascii="Menlo" w:cs="Menlo" w:eastAsia="Menlo" w:hAnsi="Menlo"/>
          <w:color w:val="C44510"/>
          <w:spacing w:val="40"/>
          <w:sz w:val="18"/>
          <w:szCs w:val="18"/>
        </w:rPr>
        <w:t xml:space="preserve">KILL CLAUSE</w:t>
      </w:r>
    </w:p>
    <w:p>
      <w:pPr>
        <w:spacing w:after="80" w:before="0" w:line="280" w:lineRule="auto"/>
      </w:pPr>
      <w:r>
        <w:rPr>
          <w:rFonts w:ascii="Helvetica Neue" w:cs="Helvetica Neue" w:eastAsia="Helvetica Neue" w:hAnsi="Helvetica Neue"/>
          <w:color w:val="1A1612"/>
          <w:sz w:val="21"/>
          <w:szCs w:val="21"/>
        </w:rPr>
        <w:t xml:space="preserve">If the engagement isn’t paying for itself by the end of week two, either party may end it cleanly with prorated billing for work delivered. No penalty, no extended wind-down. Capacity is a feature — we both want it back if this isn’t the right fit.</w:t>
      </w:r>
    </w:p>
    <w:p>
      <w:pPr>
        <w:spacing w:after="60" w:before="160"/>
      </w:pPr>
      <w:r>
        <w:rPr>
          <w:rFonts w:ascii="Menlo" w:cs="Menlo" w:eastAsia="Menlo" w:hAnsi="Menlo"/>
          <w:color w:val="C44510"/>
          <w:spacing w:val="40"/>
          <w:sz w:val="18"/>
          <w:szCs w:val="18"/>
        </w:rPr>
        <w:t xml:space="preserve">PAYMENT TERMS</w:t>
      </w:r>
    </w:p>
    <w:p>
      <w:pPr>
        <w:spacing w:after="80" w:before="0" w:line="280" w:lineRule="auto"/>
      </w:pPr>
      <w:r>
        <w:rPr>
          <w:rFonts w:ascii="Helvetica Neue" w:cs="Helvetica Neue" w:eastAsia="Helvetica Neue" w:hAnsi="Helvetica Neue"/>
          <w:color w:val="1A1612"/>
          <w:sz w:val="21"/>
          <w:szCs w:val="21"/>
        </w:rPr>
        <w:t xml:space="preserve">Total fee: $18,000. 50% ($9,000) due on signature; 50% ($9,000) due on delivery of the final memo. Invoices payable net-15. Late balances accrue 1.0% interest per month.</w:t>
      </w:r>
    </w:p>
    <w:p>
      <w:pPr>
        <w:spacing w:after="60" w:before="160"/>
      </w:pPr>
      <w:r>
        <w:rPr>
          <w:rFonts w:ascii="Menlo" w:cs="Menlo" w:eastAsia="Menlo" w:hAnsi="Menlo"/>
          <w:color w:val="C44510"/>
          <w:spacing w:val="40"/>
          <w:sz w:val="18"/>
          <w:szCs w:val="18"/>
        </w:rPr>
        <w:t xml:space="preserve">DISPUTE RESOLUTION</w:t>
      </w:r>
    </w:p>
    <w:p>
      <w:pPr>
        <w:spacing w:after="80" w:before="0" w:line="280" w:lineRule="auto"/>
      </w:pPr>
      <w:r>
        <w:rPr>
          <w:rFonts w:ascii="Helvetica Neue" w:cs="Helvetica Neue" w:eastAsia="Helvetica Neue" w:hAnsi="Helvetica Neue"/>
          <w:color w:val="1A1612"/>
          <w:sz w:val="21"/>
          <w:szCs w:val="21"/>
        </w:rPr>
        <w:t xml:space="preserve">Any dispute is first addressed by good-faith conversation between the signatories. Unresolved disputes are settled by binding arbitration in {{County, State}} under the rules of the American Arbitration Association. Governing law: California.</w:t>
      </w:r>
    </w:p>
    <w:p>
      <w:pPr>
        <w:spacing w:after="140" w:before="280"/>
      </w:pPr>
      <w:r>
        <w:rPr>
          <w:rFonts w:ascii="Menlo" w:cs="Menlo" w:eastAsia="Menlo" w:hAnsi="Menlo"/>
          <w:color w:val="C44510"/>
          <w:spacing w:val="40"/>
          <w:sz w:val="18"/>
          <w:szCs w:val="18"/>
        </w:rPr>
        <w:t xml:space="preserve">05 / SIGNATURES</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4480"/>
        <w:gridCol w:w="400"/>
        <w:gridCol w:w="4480"/>
      </w:tblGrid>
      <w:tr>
        <w:tc>
          <w:tcPr>
            <w:tcW w:type="dxa" w:w="4480"/>
            <w:tcBorders>
              <w:top w:val="none" w:color="auto" w:sz="0"/>
              <w:left w:val="none" w:color="auto" w:sz="0"/>
              <w:bottom w:val="none" w:color="auto" w:sz="0"/>
              <w:right w:val="none" w:color="auto" w:sz="0"/>
            </w:tcBorders>
            <w:tcMar>
              <w:top w:type="dxa" w:w="60"/>
              <w:left w:type="dxa" w:w="0"/>
              <w:bottom w:type="dxa" w:w="40"/>
              <w:right w:type="dxa" w:w="200"/>
            </w:tcMar>
          </w:tcPr>
          <w:p>
            <w:pPr>
              <w:spacing w:after="20"/>
            </w:pPr>
            <w:r>
              <w:rPr>
                <w:rFonts w:ascii="Georgia" w:cs="Georgia" w:eastAsia="Georgia" w:hAnsi="Georgia"/>
                <w:color w:val="1A1612"/>
                <w:sz w:val="24"/>
                <w:szCs w:val="24"/>
              </w:rPr>
              <w:t xml:space="preserve">Simrat Bath</w:t>
            </w:r>
          </w:p>
          <w:p>
            <w:pPr>
              <w:spacing w:after="160"/>
            </w:pPr>
            <w:r>
              <w:rPr>
                <w:rFonts w:ascii="Menlo" w:cs="Menlo" w:eastAsia="Menlo" w:hAnsi="Menlo"/>
                <w:color w:val="4D453A"/>
                <w:spacing w:val="30"/>
                <w:sz w:val="16"/>
                <w:szCs w:val="16"/>
              </w:rPr>
              <w:t xml:space="preserve">NS STUDIO LLC</w:t>
            </w:r>
          </w:p>
          <w:p>
            <w:pPr>
              <w:pBdr>
                <w:bottom w:val="single" w:color="1A1612" w:sz="6" w:space="2"/>
              </w:pBdr>
              <w:spacing w:after="20"/>
            </w:pPr>
            <w:r>
              <w:rPr>
                <w:rFonts w:ascii="Helvetica Neue" w:cs="Helvetica Neue" w:eastAsia="Helvetica Neue" w:hAnsi="Helvetica Neue"/>
                <w:sz w:val="18"/>
                <w:szCs w:val="18"/>
              </w:rPr>
              <w:t xml:space="preserve"> </w:t>
            </w:r>
          </w:p>
          <w:p>
            <w:pPr>
              <w:spacing w:after="120"/>
            </w:pPr>
            <w:r>
              <w:rPr>
                <w:rFonts w:ascii="Menlo" w:cs="Menlo" w:eastAsia="Menlo" w:hAnsi="Menlo"/>
                <w:color w:val="4D453A"/>
                <w:sz w:val="14"/>
                <w:szCs w:val="14"/>
              </w:rPr>
              <w:t xml:space="preserve">Signature</w:t>
            </w:r>
          </w:p>
          <w:p>
            <w:pPr>
              <w:pBdr>
                <w:bottom w:val="single" w:color="1A1612" w:sz="6" w:space="2"/>
              </w:pBdr>
              <w:spacing w:after="20"/>
            </w:pPr>
            <w:r>
              <w:rPr>
                <w:rFonts w:ascii="Helvetica Neue" w:cs="Helvetica Neue" w:eastAsia="Helvetica Neue" w:hAnsi="Helvetica Neue"/>
                <w:sz w:val="18"/>
                <w:szCs w:val="18"/>
              </w:rPr>
              <w:t xml:space="preserve"> </w:t>
            </w:r>
          </w:p>
          <w:p>
            <w:pPr>
              <w:spacing w:after="0"/>
            </w:pPr>
            <w:r>
              <w:rPr>
                <w:rFonts w:ascii="Menlo" w:cs="Menlo" w:eastAsia="Menlo" w:hAnsi="Menlo"/>
                <w:color w:val="4D453A"/>
                <w:sz w:val="14"/>
                <w:szCs w:val="14"/>
              </w:rPr>
              <w:t xml:space="preserve">Date</w:t>
            </w:r>
          </w:p>
        </w:tc>
        <w:tc>
          <w:tcPr>
            <w:tcW w:type="dxa" w:w="400"/>
            <w:tcBorders>
              <w:top w:val="none" w:color="auto" w:sz="0"/>
              <w:left w:val="none" w:color="auto" w:sz="0"/>
              <w:bottom w:val="none" w:color="auto" w:sz="0"/>
              <w:right w:val="none" w:color="auto" w:sz="0"/>
            </w:tcBorders>
          </w:tcPr>
          <w:p>
            <w:r>
              <w:t xml:space="preserve"/>
            </w:r>
          </w:p>
        </w:tc>
        <w:tc>
          <w:tcPr>
            <w:tcW w:type="dxa" w:w="4480"/>
            <w:tcBorders>
              <w:top w:val="none" w:color="auto" w:sz="0"/>
              <w:left w:val="none" w:color="auto" w:sz="0"/>
              <w:bottom w:val="none" w:color="auto" w:sz="0"/>
              <w:right w:val="none" w:color="auto" w:sz="0"/>
            </w:tcBorders>
            <w:tcMar>
              <w:top w:type="dxa" w:w="60"/>
              <w:left w:type="dxa" w:w="0"/>
              <w:bottom w:type="dxa" w:w="40"/>
              <w:right w:type="dxa" w:w="200"/>
            </w:tcMar>
          </w:tcPr>
          <w:p>
            <w:pPr>
              <w:spacing w:after="20"/>
            </w:pPr>
            <w:r>
              <w:rPr>
                <w:rFonts w:ascii="Georgia" w:cs="Georgia" w:eastAsia="Georgia" w:hAnsi="Georgia"/>
                <w:color w:val="1A1612"/>
                <w:sz w:val="24"/>
                <w:szCs w:val="24"/>
              </w:rPr>
              <w:t xml:space="preserve">{{Authorized Signatory}}</w:t>
            </w:r>
          </w:p>
          <w:p>
            <w:pPr>
              <w:spacing w:after="160"/>
            </w:pPr>
            <w:r>
              <w:rPr>
                <w:rFonts w:ascii="Menlo" w:cs="Menlo" w:eastAsia="Menlo" w:hAnsi="Menlo"/>
                <w:color w:val="4D453A"/>
                <w:spacing w:val="30"/>
                <w:sz w:val="16"/>
                <w:szCs w:val="16"/>
              </w:rPr>
              <w:t xml:space="preserve">{{CLIENT LEGAL NAME}}</w:t>
            </w:r>
          </w:p>
          <w:p>
            <w:pPr>
              <w:pBdr>
                <w:bottom w:val="single" w:color="1A1612" w:sz="6" w:space="2"/>
              </w:pBdr>
              <w:spacing w:after="20"/>
            </w:pPr>
            <w:r>
              <w:rPr>
                <w:rFonts w:ascii="Helvetica Neue" w:cs="Helvetica Neue" w:eastAsia="Helvetica Neue" w:hAnsi="Helvetica Neue"/>
                <w:sz w:val="18"/>
                <w:szCs w:val="18"/>
              </w:rPr>
              <w:t xml:space="preserve"> </w:t>
            </w:r>
          </w:p>
          <w:p>
            <w:pPr>
              <w:spacing w:after="120"/>
            </w:pPr>
            <w:r>
              <w:rPr>
                <w:rFonts w:ascii="Menlo" w:cs="Menlo" w:eastAsia="Menlo" w:hAnsi="Menlo"/>
                <w:color w:val="4D453A"/>
                <w:sz w:val="14"/>
                <w:szCs w:val="14"/>
              </w:rPr>
              <w:t xml:space="preserve">Signature</w:t>
            </w:r>
          </w:p>
          <w:p>
            <w:pPr>
              <w:pBdr>
                <w:bottom w:val="single" w:color="1A1612" w:sz="6" w:space="2"/>
              </w:pBdr>
              <w:spacing w:after="20"/>
            </w:pPr>
            <w:r>
              <w:rPr>
                <w:rFonts w:ascii="Helvetica Neue" w:cs="Helvetica Neue" w:eastAsia="Helvetica Neue" w:hAnsi="Helvetica Neue"/>
                <w:sz w:val="18"/>
                <w:szCs w:val="18"/>
              </w:rPr>
              <w:t xml:space="preserve"> </w:t>
            </w:r>
          </w:p>
          <w:p>
            <w:pPr>
              <w:spacing w:after="0"/>
            </w:pPr>
            <w:r>
              <w:rPr>
                <w:rFonts w:ascii="Menlo" w:cs="Menlo" w:eastAsia="Menlo" w:hAnsi="Menlo"/>
                <w:color w:val="4D453A"/>
                <w:sz w:val="14"/>
                <w:szCs w:val="14"/>
              </w:rPr>
              <w:t xml:space="preserve">Date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enlo" w:cs="Menlo" w:eastAsia="Menlo" w:hAnsi="Menlo"/>
        <w:color w:val="4D453A"/>
        <w:spacing w:val="30"/>
        <w:sz w:val="16"/>
        <w:szCs w:val="16"/>
      </w:rPr>
      <w:t xml:space="preserve">NS STUDIO LLC  ·  CA SMALL BUSINESS 2045105  ·  </w:t>
    </w:r>
    <w:hyperlink w:history="1" r:id="rIdvzct7hok6gjqc0xsfvbv5">
      <w:r>
        <w:rPr>
          <w:rFonts w:ascii="Menlo" w:cs="Menlo" w:eastAsia="Menlo" w:hAnsi="Menlo"/>
          <w:color w:val="C44510"/>
          <w:spacing w:val="30"/>
          <w:sz w:val="16"/>
          <w:szCs w:val="16"/>
        </w:rPr>
        <w:t xml:space="preserve">nsstudiollc.com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1A16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vzct7hok6gjqc0xsfvbv5" Type="http://schemas.openxmlformats.org/officeDocument/2006/relationships/hyperlink" Target="https://nsstudiollc.com"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 NS Studio Strategy Sprint</dc:title>
  <dc:creator>NS Studio LLC</dc:creator>
  <cp:lastModifiedBy>Un-named</cp:lastModifiedBy>
  <cp:revision>1</cp:revision>
  <dcterms:created xsi:type="dcterms:W3CDTF">2026-04-27T17:02:33.868Z</dcterms:created>
  <dcterms:modified xsi:type="dcterms:W3CDTF">2026-04-27T17:02:33.869Z</dcterms:modified>
</cp:coreProperties>
</file>

<file path=docProps/custom.xml><?xml version="1.0" encoding="utf-8"?>
<Properties xmlns="http://schemas.openxmlformats.org/officeDocument/2006/custom-properties" xmlns:vt="http://schemas.openxmlformats.org/officeDocument/2006/docPropsVTypes"/>
</file>