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Leishmaniose Steckbrief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Was ist es?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Eine Infektionskrankheit, verursacht durch einzellige Parasiten der Gattung </w:t>
      </w:r>
      <w:r>
        <w:rPr>
          <w:rStyle w:val="Strong"/>
          <w:rFonts w:ascii="Inter;sans-serif" w:hAnsi="Inter;sans-serif"/>
          <w:b w:val="false"/>
          <w:i/>
          <w:caps w:val="false"/>
          <w:smallCaps w:val="false"/>
          <w:color w:val="1A1C1E"/>
          <w:spacing w:val="0"/>
          <w:sz w:val="21"/>
        </w:rPr>
        <w:t>Leishmania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. Gilt als "Neglected Tropical Disease" (Vernachlässigte Tropenkrankheit).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tLeast" w:line="300" w:before="0" w:after="45"/>
        <w:ind w:hanging="0" w:start="709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Formen der Krankheit: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Kutane Leishmaniose (CL):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Die häufigste Form. Verursacht Hautläsionen ("Orientbeule"), Geschwüre und Narben. Normalerweise nicht lebensbedrohlich, aber entstellend.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Mukokutane Leishmaniose (MCL):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Eine schwere Verlaufsform, die die Schleimhäute von Nase, Mund und Rachen zerstört.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Viszerale Leishmaniose (VL) / Kala-Azar: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Die schwerste Form. Befällt die inneren Organe (Milz, Leber, Knochenmark). Unbehandelt fast immer tödlich.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tLeast" w:line="300" w:before="0" w:after="45"/>
        <w:ind w:hanging="0" w:start="709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Infektionsweg: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/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Eine </w:t>
      </w: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infizierte weibliche Sandmücke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sticht einen Menschen, um Blut zu saugen.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Beim Stich "spuckt" sie die Parasiten in die Wunde.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/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Die Parasiten dringen in die Fresszellen (</w:t>
      </w: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Makrophagen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) des menschlichen Immunsystems ein.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Trick des Parasiten: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Anstatt von den Fresszellen zerstört zu werden, vermehrt er sich </w:t>
      </w:r>
      <w:r>
        <w:rPr>
          <w:rFonts w:ascii="Inter;sans-serif" w:hAnsi="Inter;sans-serif"/>
          <w:b w:val="false"/>
          <w:i/>
          <w:caps w:val="false"/>
          <w:smallCaps w:val="false"/>
          <w:color w:val="1A1C1E"/>
          <w:spacing w:val="0"/>
          <w:sz w:val="21"/>
        </w:rPr>
        <w:t>in ihnen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, kapert sie quasi und zerstört sie von innen.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tLeast" w:line="300" w:before="0" w:after="45"/>
        <w:ind w:hanging="0" w:start="709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Immunsystem &amp; Ansteckung: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/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Eine durchgemachte Infektion führt meist zu einer </w:t>
      </w: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lebenslangen, artspezifischen Immunität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. Man kann sich aber mit einer anderen Leishmania-Art erneut infizieren.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Ein funktionierendes Immunsystem ist entscheidend. Menschen mit geschwächtem Immunsystem (z.B. durch HIV, Unterernährung) sind viel anfälliger für schwere Verläufe.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Keine direkte Mensch-zu-Mensch-Ansteckung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(wie bei Grippe). Die Übertragung erfolgt </w:t>
      </w: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immer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über den Stich einer Sandmücke.</w:t>
      </w:r>
    </w:p>
    <w:p>
      <w:pPr>
        <w:pStyle w:val="Heading4"/>
        <w:widowControl/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Inter;sans-serif" w:hAnsi="Inter;sans-serif"/>
          <w:b w:val="false"/>
          <w:bCs/>
          <w:i w:val="false"/>
          <w:caps w:val="false"/>
          <w:smallCaps w:val="false"/>
          <w:color w:val="1A1C1E"/>
          <w:spacing w:val="0"/>
          <w:sz w:val="21"/>
        </w:rPr>
        <w:t>Der Überträger (Vektor): Die Sandmücke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tLeast" w:line="300" w:before="0" w:after="45"/>
        <w:ind w:hanging="0" w:start="709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Wer ist es?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Winzige, behaarte Mücken (nur 2-3 mm groß) der Gattungen </w:t>
      </w:r>
      <w:r>
        <w:rPr>
          <w:rStyle w:val="Strong"/>
          <w:rFonts w:ascii="Inter;sans-serif" w:hAnsi="Inter;sans-serif"/>
          <w:b w:val="false"/>
          <w:i/>
          <w:caps w:val="false"/>
          <w:smallCaps w:val="false"/>
          <w:color w:val="1A1C1E"/>
          <w:spacing w:val="0"/>
          <w:sz w:val="21"/>
        </w:rPr>
        <w:t>Phlebotomus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(Alte Welt: Europa, Afrika, Asien) und </w:t>
      </w:r>
      <w:r>
        <w:rPr>
          <w:rStyle w:val="Strong"/>
          <w:rFonts w:ascii="Inter;sans-serif" w:hAnsi="Inter;sans-serif"/>
          <w:b w:val="false"/>
          <w:i/>
          <w:caps w:val="false"/>
          <w:smallCaps w:val="false"/>
          <w:color w:val="1A1C1E"/>
          <w:spacing w:val="0"/>
          <w:sz w:val="21"/>
        </w:rPr>
        <w:t>Lutzomyia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(Neue Welt: Amerika).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tLeast" w:line="300" w:before="0" w:after="45"/>
        <w:ind w:hanging="0" w:start="709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Eckdaten &amp; Verhalten: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Aktivität: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Dämmerungs- und nachtaktiv.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Flug: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Sehr leise und schwache Flieger, bleiben meist in Bodennähe.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Stich: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Der Stich selbst ist oft schmerzhaft, aber die Mücke ist so klein, dass man sie kaum bemerkt.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tLeast" w:line="300" w:before="0" w:after="45"/>
        <w:ind w:hanging="0" w:start="709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Lebensraum (Ökologie):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Name ist irreführend: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Sie heißen "Sandmücken", aber </w:t>
      </w: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brüten NICHT in trockenem Wüstensand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Brutstätten (Mikrohabitate):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Sie benötigen </w:t>
      </w: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feuchte, dunkle, organisch reiche Nischen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für ihre Eier und Larven. Typische Orte sind:</w:t>
      </w:r>
    </w:p>
    <w:p>
      <w:pPr>
        <w:pStyle w:val="BodyText"/>
        <w:widowControl/>
        <w:numPr>
          <w:ilvl w:val="2"/>
          <w:numId w:val="2"/>
        </w:numPr>
        <w:pBdr/>
        <w:tabs>
          <w:tab w:val="clear" w:pos="709"/>
          <w:tab w:val="left" w:pos="2127" w:leader="none"/>
        </w:tabs>
        <w:bidi w:val="0"/>
        <w:spacing w:lineRule="atLeast" w:line="300" w:before="0" w:after="45"/>
        <w:ind w:hanging="0" w:start="2127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Risse in Lehmwänden, feuchte Keller, Steinhaufen.</w:t>
      </w:r>
    </w:p>
    <w:p>
      <w:pPr>
        <w:pStyle w:val="BodyText"/>
        <w:widowControl/>
        <w:numPr>
          <w:ilvl w:val="2"/>
          <w:numId w:val="2"/>
        </w:numPr>
        <w:pBdr/>
        <w:tabs>
          <w:tab w:val="clear" w:pos="709"/>
          <w:tab w:val="left" w:pos="2127" w:leader="none"/>
        </w:tabs>
        <w:bidi w:val="0"/>
        <w:spacing w:lineRule="atLeast" w:line="300" w:before="0" w:after="45"/>
        <w:ind w:hanging="0" w:start="2127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Der Boden in den Bauten von Nagetieren.</w:t>
      </w:r>
    </w:p>
    <w:p>
      <w:pPr>
        <w:pStyle w:val="BodyText"/>
        <w:widowControl/>
        <w:numPr>
          <w:ilvl w:val="2"/>
          <w:numId w:val="2"/>
        </w:numPr>
        <w:pBdr/>
        <w:tabs>
          <w:tab w:val="clear" w:pos="709"/>
          <w:tab w:val="left" w:pos="2127" w:leader="none"/>
        </w:tabs>
        <w:bidi w:val="0"/>
        <w:spacing w:lineRule="atLeast" w:line="300" w:before="0" w:after="45"/>
        <w:ind w:hanging="0" w:start="2127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Feuchte Erde unter dichter Vegetation.</w:t>
      </w:r>
    </w:p>
    <w:p>
      <w:pPr>
        <w:pStyle w:val="BodyText"/>
        <w:widowControl/>
        <w:numPr>
          <w:ilvl w:val="2"/>
          <w:numId w:val="2"/>
        </w:numPr>
        <w:pBdr/>
        <w:tabs>
          <w:tab w:val="clear" w:pos="709"/>
          <w:tab w:val="left" w:pos="2127" w:leader="none"/>
        </w:tabs>
        <w:bidi w:val="0"/>
        <w:spacing w:lineRule="atLeast" w:line="300" w:before="0" w:after="45"/>
        <w:ind w:hanging="0" w:start="2127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Böden in Tierställen (angereichert mit Kot/Urin).</w:t>
      </w:r>
    </w:p>
    <w:p>
      <w:pPr>
        <w:pStyle w:val="Heading4"/>
        <w:widowControl/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Inter;sans-serif" w:hAnsi="Inter;sans-serif"/>
          <w:b w:val="false"/>
          <w:bCs/>
          <w:i w:val="false"/>
          <w:caps w:val="false"/>
          <w:smallCaps w:val="false"/>
          <w:color w:val="1A1C1E"/>
          <w:spacing w:val="0"/>
          <w:sz w:val="21"/>
        </w:rPr>
        <w:t>Schlüsselfaktoren: Klima &amp; Arten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tLeast" w:line="300" w:before="0" w:after="45"/>
        <w:ind w:hanging="0" w:start="709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Temperatur-Fenster: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Sandmücken sind wechselwarme Insekten und extrem temperaturabhängig.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Aktivitäts-Schwelle: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ca. </w:t>
      </w: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15-20 °C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. Darunter sind sie inaktiv.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Optimales Fenster: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ca. </w:t>
      </w: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25-32 °C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. Hier laufen ihr Lebenszyklus und die Entwicklung des Parasiten in ihnen am schnellsten ab.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Obere Hitzegrenze: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Dauerhaft über </w:t>
      </w: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37-40 °C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ist für die meisten Arten tödlich.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tLeast" w:line="300" w:before="0" w:after="45"/>
        <w:ind w:hanging="0" w:start="709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Wichtige Leishmania-Arten &amp; ihre Zyklen: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/>
      </w:pPr>
      <w:r>
        <w:rPr>
          <w:rStyle w:val="Strong"/>
          <w:rFonts w:ascii="Inter;sans-serif" w:hAnsi="Inter;sans-serif"/>
          <w:b w:val="false"/>
          <w:i/>
          <w:caps w:val="false"/>
          <w:smallCaps w:val="false"/>
          <w:color w:val="1A1C1E"/>
          <w:spacing w:val="0"/>
          <w:sz w:val="21"/>
        </w:rPr>
        <w:t>Leishmania major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(verursacht CL):</w:t>
      </w:r>
    </w:p>
    <w:p>
      <w:pPr>
        <w:pStyle w:val="BodyText"/>
        <w:widowControl/>
        <w:numPr>
          <w:ilvl w:val="2"/>
          <w:numId w:val="3"/>
        </w:numPr>
        <w:pBdr/>
        <w:tabs>
          <w:tab w:val="clear" w:pos="709"/>
          <w:tab w:val="left" w:pos="2127" w:leader="none"/>
        </w:tabs>
        <w:bidi w:val="0"/>
        <w:spacing w:lineRule="atLeast" w:line="300" w:before="0" w:after="45"/>
        <w:ind w:hanging="0" w:start="2127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Übertragungszyklus: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</w:t>
      </w: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Zoonotisch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.</w:t>
      </w:r>
    </w:p>
    <w:p>
      <w:pPr>
        <w:pStyle w:val="BodyText"/>
        <w:widowControl/>
        <w:numPr>
          <w:ilvl w:val="2"/>
          <w:numId w:val="3"/>
        </w:numPr>
        <w:pBdr/>
        <w:tabs>
          <w:tab w:val="clear" w:pos="709"/>
          <w:tab w:val="left" w:pos="2127" w:leader="none"/>
        </w:tabs>
        <w:bidi w:val="0"/>
        <w:spacing w:lineRule="atLeast" w:line="300" w:before="0" w:after="45"/>
        <w:ind w:hanging="0" w:start="2127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Reservoir: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Hauptsächlich </w:t>
      </w: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Nager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(z.B. Wüstenrennmäuse).</w:t>
      </w:r>
    </w:p>
    <w:p>
      <w:pPr>
        <w:pStyle w:val="BodyText"/>
        <w:widowControl/>
        <w:numPr>
          <w:ilvl w:val="2"/>
          <w:numId w:val="3"/>
        </w:numPr>
        <w:pBdr/>
        <w:tabs>
          <w:tab w:val="clear" w:pos="709"/>
          <w:tab w:val="left" w:pos="2127" w:leader="none"/>
        </w:tabs>
        <w:bidi w:val="0"/>
        <w:spacing w:lineRule="atLeast" w:line="300" w:before="0" w:after="45"/>
        <w:ind w:hanging="0" w:start="2127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Vorkommen: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Typisch für trockene, ländliche und aride Gebiete (z.B. Jordantal, ländliches Libyen).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/>
      </w:pPr>
      <w:r>
        <w:rPr>
          <w:rStyle w:val="Strong"/>
          <w:rFonts w:ascii="Inter;sans-serif" w:hAnsi="Inter;sans-serif"/>
          <w:b w:val="false"/>
          <w:i/>
          <w:caps w:val="false"/>
          <w:smallCaps w:val="false"/>
          <w:color w:val="1A1C1E"/>
          <w:spacing w:val="0"/>
          <w:sz w:val="21"/>
        </w:rPr>
        <w:t>Leishmania tropica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(verursacht CL):</w:t>
      </w:r>
    </w:p>
    <w:p>
      <w:pPr>
        <w:pStyle w:val="BodyText"/>
        <w:widowControl/>
        <w:numPr>
          <w:ilvl w:val="2"/>
          <w:numId w:val="3"/>
        </w:numPr>
        <w:pBdr/>
        <w:tabs>
          <w:tab w:val="clear" w:pos="709"/>
          <w:tab w:val="left" w:pos="2127" w:leader="none"/>
        </w:tabs>
        <w:bidi w:val="0"/>
        <w:spacing w:lineRule="atLeast" w:line="300" w:before="0" w:after="45"/>
        <w:ind w:hanging="0" w:start="2127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Übertragungszyklus: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Klassisch </w:t>
      </w: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Anthroponotisch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(Mensch-Mücke-Mensch), aber auch zoonotische Zyklen mit Klippschliefern wurden nachgewiesen.</w:t>
      </w:r>
    </w:p>
    <w:p>
      <w:pPr>
        <w:pStyle w:val="BodyText"/>
        <w:widowControl/>
        <w:numPr>
          <w:ilvl w:val="2"/>
          <w:numId w:val="3"/>
        </w:numPr>
        <w:pBdr/>
        <w:tabs>
          <w:tab w:val="clear" w:pos="709"/>
          <w:tab w:val="left" w:pos="2127" w:leader="none"/>
        </w:tabs>
        <w:bidi w:val="0"/>
        <w:spacing w:lineRule="atLeast" w:line="300" w:before="0" w:after="45"/>
        <w:ind w:hanging="0" w:start="2127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Reservoir: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Hauptsächlich der </w:t>
      </w: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Mensch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.</w:t>
      </w:r>
    </w:p>
    <w:p>
      <w:pPr>
        <w:pStyle w:val="BodyText"/>
        <w:widowControl/>
        <w:numPr>
          <w:ilvl w:val="2"/>
          <w:numId w:val="3"/>
        </w:numPr>
        <w:pBdr/>
        <w:tabs>
          <w:tab w:val="clear" w:pos="709"/>
          <w:tab w:val="left" w:pos="2127" w:leader="none"/>
        </w:tabs>
        <w:bidi w:val="0"/>
        <w:spacing w:lineRule="atLeast" w:line="300" w:before="0" w:after="45"/>
        <w:ind w:hanging="0" w:start="2127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Vorkommen: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Typisch für </w:t>
      </w: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dicht besiedelte, städtische oder dörfliche Gebiete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(z.B. Aleppo früher, Teile der Westbank).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/>
      </w:pPr>
      <w:r>
        <w:rPr>
          <w:rStyle w:val="Strong"/>
          <w:rFonts w:ascii="Inter;sans-serif" w:hAnsi="Inter;sans-serif"/>
          <w:b w:val="false"/>
          <w:i/>
          <w:caps w:val="false"/>
          <w:smallCaps w:val="false"/>
          <w:color w:val="1A1C1E"/>
          <w:spacing w:val="0"/>
          <w:sz w:val="21"/>
        </w:rPr>
        <w:t>Leishmania infantum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(verursacht hauptsächlich VL, aber auch CL):</w:t>
      </w:r>
    </w:p>
    <w:p>
      <w:pPr>
        <w:pStyle w:val="BodyText"/>
        <w:widowControl/>
        <w:numPr>
          <w:ilvl w:val="2"/>
          <w:numId w:val="3"/>
        </w:numPr>
        <w:pBdr/>
        <w:tabs>
          <w:tab w:val="clear" w:pos="709"/>
          <w:tab w:val="left" w:pos="2127" w:leader="none"/>
        </w:tabs>
        <w:bidi w:val="0"/>
        <w:spacing w:lineRule="atLeast" w:line="300" w:before="0" w:after="45"/>
        <w:ind w:hanging="0" w:start="2127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Übertragungszyklus: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</w:t>
      </w: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Zoonotisch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.</w:t>
      </w:r>
    </w:p>
    <w:p>
      <w:pPr>
        <w:pStyle w:val="BodyText"/>
        <w:widowControl/>
        <w:numPr>
          <w:ilvl w:val="2"/>
          <w:numId w:val="3"/>
        </w:numPr>
        <w:pBdr/>
        <w:tabs>
          <w:tab w:val="clear" w:pos="709"/>
          <w:tab w:val="left" w:pos="2127" w:leader="none"/>
        </w:tabs>
        <w:bidi w:val="0"/>
        <w:spacing w:lineRule="atLeast" w:line="300" w:before="0" w:after="45"/>
        <w:ind w:hanging="0" w:start="2127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Reservoir: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Hauptsächlich </w:t>
      </w: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Hunde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(Haushunde und streunende Hunde).</w:t>
      </w:r>
    </w:p>
    <w:p>
      <w:pPr>
        <w:pStyle w:val="BodyText"/>
        <w:widowControl/>
        <w:numPr>
          <w:ilvl w:val="2"/>
          <w:numId w:val="3"/>
        </w:numPr>
        <w:pBdr/>
        <w:tabs>
          <w:tab w:val="clear" w:pos="709"/>
          <w:tab w:val="left" w:pos="2127" w:leader="none"/>
        </w:tabs>
        <w:bidi w:val="0"/>
        <w:spacing w:lineRule="atLeast" w:line="300" w:before="0" w:after="45"/>
        <w:ind w:hanging="0" w:start="2127" w:end="0"/>
        <w:jc w:val="start"/>
        <w:rPr/>
      </w:pPr>
      <w:r>
        <w:rPr>
          <w:rStyle w:val="Strong"/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Vorkommen: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1"/>
        </w:rPr>
        <w:t> Weit verbreitet im gesamten Mittelmeerraum, auch in Südeuropa.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Inter">
    <w:altName w:val="sans-serif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1418"/>
        </w:tabs>
        <w:ind w:star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1418"/>
        </w:tabs>
        <w:ind w:start="1418" w:hanging="0"/>
      </w:pPr>
      <w:rPr>
        <w:rFonts w:ascii="Symbol" w:hAnsi="Symbol" w:cs="Symbol" w:hint="default"/>
      </w:rPr>
    </w:lvl>
    <w:lvl w:ilvl="2">
      <w:start w:val="1"/>
      <w:numFmt w:val="bullet"/>
      <w:suff w:val="nothing"/>
      <w:lvlText w:val=""/>
      <w:lvlJc w:val="start"/>
      <w:pPr>
        <w:tabs>
          <w:tab w:val="num" w:pos="2127"/>
        </w:tabs>
        <w:ind w:start="212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1418"/>
        </w:tabs>
        <w:ind w:start="1418" w:hanging="0"/>
      </w:pPr>
      <w:rPr>
        <w:rFonts w:ascii="Symbol" w:hAnsi="Symbol" w:cs="Symbol" w:hint="default"/>
      </w:rPr>
    </w:lvl>
    <w:lvl w:ilvl="2">
      <w:start w:val="1"/>
      <w:numFmt w:val="bullet"/>
      <w:suff w:val="nothing"/>
      <w:lvlText w:val=""/>
      <w:lvlJc w:val="start"/>
      <w:pPr>
        <w:tabs>
          <w:tab w:val="num" w:pos="2127"/>
        </w:tabs>
        <w:ind w:start="212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de-D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de-DE" w:eastAsia="zh-CN" w:bidi="hi-IN"/>
    </w:rPr>
  </w:style>
  <w:style w:type="paragraph" w:styleId="Heading4">
    <w:name w:val="Heading 4"/>
    <w:basedOn w:val="Berschrift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Aufzhlungszeichen">
    <w:name w:val="Aufzählungszeichen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Docx_Editor_PLUS/1.0.0.0$Windows_X86_64 LibreOffice_project/</Application>
  <AppVersion>15.0000</AppVersion>
  <Pages>2</Pages>
  <Words>487</Words>
  <Characters>3149</Characters>
  <CharactersWithSpaces>3548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2025-09-16T19:38:51Z</dcterms:created>
  <dc:creator/>
  <dc:description/>
  <dc:language>de-DE</dc:language>
  <cp:lastModifiedBy/>
  <dcterms:modified xsi:type="dcterms:W3CDTF">2025-09-16T19:41:06Z</dcterms:modified>
  <cp:revision>1</cp:revision>
  <dc:subject/>
  <dc:title/>
</cp:coreProperties>
</file>