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A3EB" w14:textId="77777777" w:rsidR="003750E2" w:rsidRDefault="00000000">
      <w:r>
        <w:rPr>
          <w:b/>
          <w:color w:val="EF4647"/>
          <w:sz w:val="32"/>
        </w:rPr>
        <w:t>Hospitalisation : dérive réelle ou effet ROC ?</w:t>
      </w:r>
    </w:p>
    <w:p w14:paraId="2786370E" w14:textId="77777777" w:rsidR="003750E2" w:rsidRDefault="00000000">
      <w:r>
        <w:rPr>
          <w:color w:val="808080"/>
        </w:rPr>
        <w:t>Les sources, où les chiffres sont écrits, et ce qu’on en a fait. Septembre 2026.</w:t>
      </w:r>
    </w:p>
    <w:p w14:paraId="62FACEE7" w14:textId="77777777" w:rsidR="003750E2" w:rsidRDefault="00000000">
      <w:pPr>
        <w:spacing w:before="200"/>
      </w:pPr>
      <w:r>
        <w:rPr>
          <w:b/>
          <w:color w:val="EF4647"/>
          <w:sz w:val="24"/>
        </w:rPr>
        <w:t>1. Les chiffres de l’étude : Open DAMIR, lu avec DAMIR Studio</w:t>
      </w:r>
    </w:p>
    <w:p w14:paraId="4AE0644F" w14:textId="77777777" w:rsidR="003750E2" w:rsidRDefault="00000000">
      <w:r>
        <w:t>Tous les chiffres des slides 4 à 9 (les +2,4 %, +33,2 %, +10 %, le tableau par âge, la cadence de paiement) viennent d’Open DAMIR, la base publique de l’Assurance Maladie, lue avec l’outil DAMIR Studio. Il n’y a pas de page à citer : c’est un calcul sur la base, refaisable dans l’outil.</w:t>
      </w:r>
    </w:p>
    <w:p w14:paraId="1D751639" w14:textId="77777777" w:rsidR="003750E2" w:rsidRDefault="00000000">
      <w:pPr>
        <w:ind w:left="227"/>
      </w:pPr>
      <w:r>
        <w:rPr>
          <w:b/>
        </w:rPr>
        <w:t xml:space="preserve">La base : </w:t>
      </w:r>
      <w:hyperlink r:id="rId6">
        <w:r>
          <w:rPr>
            <w:color w:val="1F5C99"/>
            <w:u w:val="single"/>
          </w:rPr>
          <w:t>assurance-maladie.ameli.fr, Open DAMIR</w:t>
        </w:r>
      </w:hyperlink>
    </w:p>
    <w:p w14:paraId="2FE25549" w14:textId="77777777" w:rsidR="003750E2" w:rsidRDefault="00000000">
      <w:pPr>
        <w:ind w:left="227"/>
      </w:pPr>
      <w:r>
        <w:rPr>
          <w:b/>
        </w:rPr>
        <w:t xml:space="preserve">Comment retrouver chaque chiffre dans l’outil : </w:t>
      </w:r>
      <w:r>
        <w:t>écran Extraire ou Panorama, grand poste Hospitalisation, période 2022 à 2025. Séjours ordinaires = poste Séjour, sous-poste Séjours MCO et HAD (prestation Frais d’hébergement et environnement en GHS). Rééducation = sous-postes Rééducation SMR et Séjours au prix de journée, additionnés. Anesthésie = poste Honoraires. Mesures : Reste à charge après AMO, Dépassements, Part financée par la Sécurité sociale. Le bouton Année de règlement AMO donne la date de paiement.</w:t>
      </w:r>
    </w:p>
    <w:p w14:paraId="18EE9D6D" w14:textId="77777777" w:rsidR="003750E2" w:rsidRDefault="00000000">
      <w:pPr>
        <w:ind w:left="227"/>
      </w:pPr>
      <w:r>
        <w:rPr>
          <w:b/>
        </w:rPr>
        <w:t xml:space="preserve">Le détail écrit : </w:t>
      </w:r>
      <w:r>
        <w:t>docs/ETUDE_HOSPITALISATION_PAR_POSTE.md dans le dossier Outil_DAMIR (tous les tableaux, la méthode pour 2025, la cadence).</w:t>
      </w:r>
    </w:p>
    <w:p w14:paraId="151A1227" w14:textId="77777777" w:rsidR="003750E2" w:rsidRDefault="00000000">
      <w:pPr>
        <w:spacing w:before="200"/>
      </w:pPr>
      <w:r>
        <w:rPr>
          <w:b/>
          <w:color w:val="EF4647"/>
          <w:sz w:val="24"/>
        </w:rPr>
        <w:t>2. Les sources extérieures, une par une</w:t>
      </w:r>
    </w:p>
    <w:p w14:paraId="24371472" w14:textId="77777777" w:rsidR="003750E2" w:rsidRDefault="00000000">
      <w:pPr>
        <w:spacing w:before="160" w:after="20"/>
      </w:pPr>
      <w:r>
        <w:rPr>
          <w:b/>
          <w:sz w:val="22"/>
        </w:rPr>
        <w:t>Le ROC, c’est quoi : GIE SESAM-Vitale, page « ROC Établissements »</w:t>
      </w:r>
    </w:p>
    <w:p w14:paraId="70182EAE" w14:textId="77777777" w:rsidR="003750E2" w:rsidRDefault="00000000">
      <w:pPr>
        <w:ind w:left="227"/>
      </w:pPr>
      <w:hyperlink r:id="rId7">
        <w:r>
          <w:rPr>
            <w:color w:val="1F5C99"/>
            <w:u w:val="single"/>
          </w:rPr>
          <w:t>https://www.sesam-vitale.fr/en/roc-es</w:t>
        </w:r>
      </w:hyperlink>
    </w:p>
    <w:p w14:paraId="6AC3BE2C" w14:textId="77777777" w:rsidR="003750E2" w:rsidRDefault="00000000">
      <w:pPr>
        <w:ind w:left="227"/>
      </w:pPr>
      <w:r>
        <w:rPr>
          <w:b/>
        </w:rPr>
        <w:t xml:space="preserve">Ce qu’on en a mis dans le diapo : </w:t>
      </w:r>
      <w:r>
        <w:t>slide 3, la définition (tiers payant dématérialisé de la part complémentaire) et le fait que les cliniques sont éligibles aussi.</w:t>
      </w:r>
    </w:p>
    <w:p w14:paraId="72638CA7" w14:textId="77777777" w:rsidR="003750E2" w:rsidRDefault="00000000">
      <w:pPr>
        <w:ind w:left="227"/>
      </w:pPr>
      <w:r>
        <w:rPr>
          <w:b/>
        </w:rPr>
        <w:t xml:space="preserve">Où c’est écrit : </w:t>
      </w:r>
      <w:r>
        <w:t>section « Définition » pour la première phrase, section « Périmètre » pour la seconde.</w:t>
      </w:r>
    </w:p>
    <w:p w14:paraId="7017C75E" w14:textId="77777777" w:rsidR="003750E2" w:rsidRDefault="00000000">
      <w:pPr>
        <w:ind w:left="510"/>
      </w:pPr>
      <w:r>
        <w:rPr>
          <w:i/>
          <w:sz w:val="20"/>
        </w:rPr>
        <w:t>« ROC Établissements a pour objet de faciliter l’application du tiers payant sur la part complémentaire dans les établissements de santé en dématérialisant les échanges »</w:t>
      </w:r>
    </w:p>
    <w:p w14:paraId="5B486625" w14:textId="77777777" w:rsidR="003750E2" w:rsidRDefault="00000000">
      <w:pPr>
        <w:ind w:left="510"/>
      </w:pPr>
      <w:r>
        <w:rPr>
          <w:i/>
          <w:sz w:val="20"/>
        </w:rPr>
        <w:t>« Les établissements EPS, HIA et PNL ex-DG ayant une activité MCOO, SMR et PSY ainsi que les établissements privés ex-OQN situés en France métropolitaine »</w:t>
      </w:r>
    </w:p>
    <w:p w14:paraId="0383832B" w14:textId="77777777" w:rsidR="003750E2" w:rsidRDefault="00000000">
      <w:pPr>
        <w:spacing w:before="160" w:after="20"/>
      </w:pPr>
      <w:r>
        <w:rPr>
          <w:b/>
          <w:sz w:val="22"/>
        </w:rPr>
        <w:t>Où en est le ROC : Groupe VYV, « Le dispositif ROC : où en est-on ? »</w:t>
      </w:r>
    </w:p>
    <w:p w14:paraId="674BC769" w14:textId="77777777" w:rsidR="003750E2" w:rsidRDefault="00000000">
      <w:pPr>
        <w:ind w:left="227"/>
      </w:pPr>
      <w:hyperlink r:id="rId8">
        <w:r>
          <w:rPr>
            <w:color w:val="1F5C99"/>
            <w:u w:val="single"/>
          </w:rPr>
          <w:t>https://www.groupe-vyv.fr/informations/le-dispositif-roc-ou-en-est-on/</w:t>
        </w:r>
      </w:hyperlink>
    </w:p>
    <w:p w14:paraId="612DE939" w14:textId="77777777" w:rsidR="003750E2" w:rsidRDefault="00000000">
      <w:pPr>
        <w:ind w:left="227"/>
      </w:pPr>
      <w:r>
        <w:rPr>
          <w:b/>
        </w:rPr>
        <w:t xml:space="preserve">Ce qu’on en a mis dans le diapo : </w:t>
      </w:r>
      <w:r>
        <w:t>slide 3, la ligne 19/09/2024 du calendrier (473 hôpitaux, un peu plus d’un sur deux, 88 complémentaires, 97 % des assurés), la fin du déploiement 2025-2026, et le grand chiffre des rejets 10-15 % → 0,1-0,2 %.</w:t>
      </w:r>
    </w:p>
    <w:p w14:paraId="395926FE" w14:textId="77777777" w:rsidR="003750E2" w:rsidRDefault="00000000">
      <w:pPr>
        <w:ind w:left="227"/>
      </w:pPr>
      <w:r>
        <w:rPr>
          <w:b/>
        </w:rPr>
        <w:t xml:space="preserve">Où c’est écrit : </w:t>
      </w:r>
      <w:r>
        <w:t>section « Un déploiement progressif », c’est là que sont les quatre phrases.</w:t>
      </w:r>
    </w:p>
    <w:p w14:paraId="2C39BEB5" w14:textId="77777777" w:rsidR="003750E2" w:rsidRDefault="00000000">
      <w:pPr>
        <w:ind w:left="510"/>
      </w:pPr>
      <w:r>
        <w:rPr>
          <w:i/>
          <w:sz w:val="20"/>
        </w:rPr>
        <w:t>« Au 19 septembre 2024, 473 établissements de santé sont entrés dans le dispositif, soit 58 % d’entre eux. »</w:t>
      </w:r>
    </w:p>
    <w:p w14:paraId="3E55F6D4" w14:textId="77777777" w:rsidR="003750E2" w:rsidRDefault="00000000">
      <w:pPr>
        <w:ind w:left="510"/>
      </w:pPr>
      <w:r>
        <w:rPr>
          <w:i/>
          <w:sz w:val="20"/>
        </w:rPr>
        <w:t>« Quant aux AMC, elles sont déjà 88 à utiliser le dispositif ROC, ce qui permet à 97 % de la population protégée de pouvoir en bénéficier. »</w:t>
      </w:r>
    </w:p>
    <w:p w14:paraId="02EAEB07" w14:textId="77777777" w:rsidR="003750E2" w:rsidRDefault="00000000">
      <w:pPr>
        <w:ind w:left="510"/>
      </w:pPr>
      <w:r>
        <w:rPr>
          <w:i/>
          <w:sz w:val="20"/>
        </w:rPr>
        <w:t>« Depuis le déploiement de ROC, le taux de rejet des factures est de 0,1 % à 0,2 % contre 10 % à 15 % auparavant »</w:t>
      </w:r>
    </w:p>
    <w:p w14:paraId="09470E03" w14:textId="77777777" w:rsidR="003750E2" w:rsidRDefault="00000000">
      <w:pPr>
        <w:ind w:left="510"/>
      </w:pPr>
      <w:r>
        <w:rPr>
          <w:i/>
          <w:sz w:val="20"/>
        </w:rPr>
        <w:t>« Le déploiement de ROC s’effectue en plusieurs étapes et devrait se terminer en 2025-2026. »</w:t>
      </w:r>
    </w:p>
    <w:p w14:paraId="05F151DA" w14:textId="77777777" w:rsidR="003750E2" w:rsidRDefault="00000000">
      <w:pPr>
        <w:spacing w:before="160" w:after="20"/>
      </w:pPr>
      <w:r>
        <w:rPr>
          <w:b/>
          <w:sz w:val="22"/>
        </w:rPr>
        <w:t>Et les cliniques : FHP-MCO, « ROC : place aux cliniques et hôpitaux privés », 21 juillet 2025</w:t>
      </w:r>
    </w:p>
    <w:p w14:paraId="15DDCA9E" w14:textId="77777777" w:rsidR="003750E2" w:rsidRDefault="00000000">
      <w:pPr>
        <w:ind w:left="227"/>
      </w:pPr>
      <w:hyperlink r:id="rId9">
        <w:r>
          <w:rPr>
            <w:color w:val="1F5C99"/>
            <w:u w:val="single"/>
          </w:rPr>
          <w:t>https://www.fhpmco.fr/2025/07/21/roc-place-aux-cliniques-et-hopitaux-prives/</w:t>
        </w:r>
      </w:hyperlink>
    </w:p>
    <w:p w14:paraId="78B2BCFB" w14:textId="77777777" w:rsidR="003750E2" w:rsidRDefault="00000000">
      <w:pPr>
        <w:ind w:left="227"/>
      </w:pPr>
      <w:r>
        <w:rPr>
          <w:b/>
        </w:rPr>
        <w:t xml:space="preserve">Ce qu’on en a mis dans le diapo : </w:t>
      </w:r>
      <w:r>
        <w:t>slide 3, la colonne Cliniques privées (pilotes rentrée 2025, montée en charge septembre 2026, généralisation 2027) et, slide 9, l’idée qu’en 2025 le ROC joue dans le public et pas encore dans les cliniques.</w:t>
      </w:r>
    </w:p>
    <w:p w14:paraId="7C08DB39" w14:textId="77777777" w:rsidR="003750E2" w:rsidRDefault="00000000">
      <w:pPr>
        <w:ind w:left="227"/>
      </w:pPr>
      <w:r>
        <w:rPr>
          <w:b/>
        </w:rPr>
        <w:lastRenderedPageBreak/>
        <w:t xml:space="preserve">Où c’est écrit : </w:t>
      </w:r>
      <w:r>
        <w:t>dans le corps de l’article, trois phrases qui se suivent.</w:t>
      </w:r>
    </w:p>
    <w:p w14:paraId="7ACF053A" w14:textId="77777777" w:rsidR="003750E2" w:rsidRDefault="00000000">
      <w:pPr>
        <w:ind w:left="510"/>
      </w:pPr>
      <w:r>
        <w:rPr>
          <w:i/>
          <w:sz w:val="20"/>
        </w:rPr>
        <w:t>« une expérimentation dans les établissements de santé privés dès la rentrée 2025 »</w:t>
      </w:r>
    </w:p>
    <w:p w14:paraId="73087515" w14:textId="77777777" w:rsidR="003750E2" w:rsidRDefault="00000000">
      <w:pPr>
        <w:ind w:left="510"/>
      </w:pPr>
      <w:r>
        <w:rPr>
          <w:i/>
          <w:sz w:val="20"/>
        </w:rPr>
        <w:t>« À l’horizon septembre 2026, une montée en puissance est envisageable pour les établissements »</w:t>
      </w:r>
    </w:p>
    <w:p w14:paraId="26809FF1" w14:textId="77777777" w:rsidR="003750E2" w:rsidRDefault="00000000">
      <w:pPr>
        <w:ind w:left="510"/>
      </w:pPr>
      <w:r>
        <w:rPr>
          <w:i/>
          <w:sz w:val="20"/>
        </w:rPr>
        <w:t>« notre ambition est claire : permettre un accès à ROC à l’ensemble des établissements de santé privés dès 2027 »</w:t>
      </w:r>
    </w:p>
    <w:p w14:paraId="2F849706" w14:textId="77777777" w:rsidR="003750E2" w:rsidRDefault="00000000">
      <w:pPr>
        <w:spacing w:before="160" w:after="20"/>
      </w:pPr>
      <w:r>
        <w:rPr>
          <w:b/>
          <w:sz w:val="22"/>
        </w:rPr>
        <w:t>La réforme de la rééducation : Sénat, question écrite 2024 sur le financement des SMR (référence qSEQ241000269)</w:t>
      </w:r>
    </w:p>
    <w:p w14:paraId="0CA29D0C" w14:textId="77777777" w:rsidR="003750E2" w:rsidRDefault="00000000">
      <w:pPr>
        <w:ind w:left="227"/>
      </w:pPr>
      <w:hyperlink r:id="rId10">
        <w:r>
          <w:rPr>
            <w:color w:val="1F5C99"/>
            <w:u w:val="single"/>
          </w:rPr>
          <w:t>https://www.senat.fr/questions/base/2024/qSEQ241000269.html</w:t>
        </w:r>
      </w:hyperlink>
    </w:p>
    <w:p w14:paraId="556F7CFF" w14:textId="77777777" w:rsidR="003750E2" w:rsidRDefault="00000000">
      <w:pPr>
        <w:ind w:left="227"/>
      </w:pPr>
      <w:r>
        <w:rPr>
          <w:b/>
        </w:rPr>
        <w:t xml:space="preserve">Ce qu’on en a mis dans le diapo : </w:t>
      </w:r>
      <w:r>
        <w:t>slide 4, la ligne 01/2024 du tableau des réformes (nouveaux tarifs, factures retardées) et, slide 6, l’explication du +33 % en date de paiement : les cliniques ont facturé en retard en 2024.</w:t>
      </w:r>
    </w:p>
    <w:p w14:paraId="311B1FD9" w14:textId="77777777" w:rsidR="003750E2" w:rsidRDefault="00000000">
      <w:pPr>
        <w:ind w:left="227"/>
      </w:pPr>
      <w:r>
        <w:rPr>
          <w:b/>
        </w:rPr>
        <w:t xml:space="preserve">Où c’est écrit : </w:t>
      </w:r>
      <w:r>
        <w:t>tout est dans la réponse du ministère, pas dans la question. La première phrase ouvre la réponse, les autres sont au milieu.</w:t>
      </w:r>
    </w:p>
    <w:p w14:paraId="78A1A02B" w14:textId="77777777" w:rsidR="003750E2" w:rsidRDefault="00000000">
      <w:pPr>
        <w:ind w:left="510"/>
      </w:pPr>
      <w:r>
        <w:rPr>
          <w:i/>
          <w:sz w:val="20"/>
        </w:rPr>
        <w:t>« Depuis 2024, le nouveau modèle de financement des Soins médicaux et de réadaptation (SMR) s’applique en totalité. »</w:t>
      </w:r>
    </w:p>
    <w:p w14:paraId="6B8A97BE" w14:textId="77777777" w:rsidR="003750E2" w:rsidRDefault="00000000">
      <w:pPr>
        <w:ind w:left="510"/>
      </w:pPr>
      <w:r>
        <w:rPr>
          <w:i/>
          <w:sz w:val="20"/>
        </w:rPr>
        <w:t>« Les établissements du secteur ex-OQN remontent cependant des difficultés relatives à leur niveau de trésorerie »</w:t>
      </w:r>
    </w:p>
    <w:p w14:paraId="3EEC3342" w14:textId="77777777" w:rsidR="003750E2" w:rsidRDefault="00000000">
      <w:pPr>
        <w:ind w:left="510"/>
      </w:pPr>
      <w:r>
        <w:rPr>
          <w:i/>
          <w:sz w:val="20"/>
        </w:rPr>
        <w:t>« près de 700 Meuros qui ont été liquidés au titre des premiers mois de l’année 2024 »</w:t>
      </w:r>
    </w:p>
    <w:p w14:paraId="06773FB9" w14:textId="77777777" w:rsidR="003750E2" w:rsidRDefault="00000000">
      <w:pPr>
        <w:ind w:left="510"/>
      </w:pPr>
      <w:r>
        <w:rPr>
          <w:i/>
          <w:sz w:val="20"/>
        </w:rPr>
        <w:t>« Ce sont ainsi plus de 10 000 séjours qui sont désormais facturés par semaine »</w:t>
      </w:r>
    </w:p>
    <w:p w14:paraId="27D46065" w14:textId="77777777" w:rsidR="003750E2" w:rsidRDefault="00000000">
      <w:pPr>
        <w:ind w:left="510"/>
      </w:pPr>
      <w:r>
        <w:rPr>
          <w:i/>
          <w:sz w:val="20"/>
        </w:rPr>
        <w:t>« + de 1 % pour le secteur ex-OQN »</w:t>
      </w:r>
    </w:p>
    <w:p w14:paraId="1982C169" w14:textId="77777777" w:rsidR="003750E2" w:rsidRDefault="00000000">
      <w:pPr>
        <w:spacing w:before="160" w:after="20"/>
      </w:pPr>
      <w:r>
        <w:rPr>
          <w:b/>
          <w:sz w:val="22"/>
        </w:rPr>
        <w:t>Les ordres de grandeur du privé : DREES, « Les dépenses de santé en 2024 », édition 2025, fiche 02 « Les soins hospitaliers »</w:t>
      </w:r>
    </w:p>
    <w:p w14:paraId="48428DE5" w14:textId="77777777" w:rsidR="003750E2" w:rsidRDefault="00000000">
      <w:pPr>
        <w:ind w:left="227"/>
      </w:pPr>
      <w:hyperlink r:id="rId11">
        <w:r>
          <w:rPr>
            <w:color w:val="1F5C99"/>
            <w:u w:val="single"/>
          </w:rPr>
          <w:t>https://drees.solidarites-sante</w:t>
        </w:r>
        <w:r>
          <w:rPr>
            <w:color w:val="1F5C99"/>
            <w:u w:val="single"/>
          </w:rPr>
          <w:t>.</w:t>
        </w:r>
        <w:r>
          <w:rPr>
            <w:color w:val="1F5C99"/>
            <w:u w:val="single"/>
          </w:rPr>
          <w:t>gouv.fr/sites/default/files/2025-12/CNS%20-%20Fiche%2002%20-%20Les%20soins%20hospitaliers.pdf</w:t>
        </w:r>
      </w:hyperlink>
    </w:p>
    <w:p w14:paraId="0C3460DC" w14:textId="1DF6B576" w:rsidR="003750E2" w:rsidRDefault="00315BE9">
      <w:pPr>
        <w:ind w:left="227"/>
      </w:pPr>
      <w:proofErr w:type="spellStart"/>
      <w:r w:rsidRPr="00315BE9">
        <w:rPr>
          <w:b/>
        </w:rPr>
        <w:t>Réforme</w:t>
      </w:r>
      <w:proofErr w:type="spellEnd"/>
      <w:r w:rsidRPr="00315BE9">
        <w:rPr>
          <w:b/>
        </w:rPr>
        <w:t xml:space="preserve"> de la </w:t>
      </w:r>
      <w:proofErr w:type="spellStart"/>
      <w:r w:rsidRPr="00315BE9">
        <w:rPr>
          <w:b/>
        </w:rPr>
        <w:t>facturation</w:t>
      </w:r>
      <w:proofErr w:type="spellEnd"/>
      <w:r w:rsidRPr="00315BE9">
        <w:rPr>
          <w:b/>
        </w:rPr>
        <w:t xml:space="preserve"> </w:t>
      </w:r>
      <w:proofErr w:type="spellStart"/>
      <w:r w:rsidR="00000000">
        <w:rPr>
          <w:b/>
        </w:rPr>
        <w:t>Où</w:t>
      </w:r>
      <w:proofErr w:type="spellEnd"/>
      <w:r w:rsidR="00000000">
        <w:rPr>
          <w:b/>
        </w:rPr>
        <w:t xml:space="preserve"> </w:t>
      </w:r>
      <w:proofErr w:type="spellStart"/>
      <w:r w:rsidR="00000000">
        <w:rPr>
          <w:b/>
        </w:rPr>
        <w:t>c’est</w:t>
      </w:r>
      <w:proofErr w:type="spellEnd"/>
      <w:r w:rsidR="00000000">
        <w:rPr>
          <w:b/>
        </w:rPr>
        <w:t xml:space="preserve"> </w:t>
      </w:r>
      <w:proofErr w:type="spellStart"/>
      <w:proofErr w:type="gramStart"/>
      <w:r w:rsidR="00000000">
        <w:rPr>
          <w:b/>
        </w:rPr>
        <w:t>écrit</w:t>
      </w:r>
      <w:proofErr w:type="spellEnd"/>
      <w:r w:rsidR="00000000">
        <w:rPr>
          <w:b/>
        </w:rPr>
        <w:t xml:space="preserve"> :</w:t>
      </w:r>
      <w:proofErr w:type="gramEnd"/>
      <w:r w:rsidR="00000000">
        <w:rPr>
          <w:b/>
        </w:rPr>
        <w:t xml:space="preserve"> </w:t>
      </w:r>
      <w:r w:rsidR="00000000">
        <w:t>pages 31 et 32 de la publication (pages 4 et 5 du PDF de la fiche). Le +1,0 % de la rééducation est dans le tableau 4, ligne « SMR (ex-SSR) », colonne 2024. La part de la Sécurité sociale est dans le paragraphe « Baisse du financement public dans le secteur privé en 2024 ».</w:t>
      </w:r>
    </w:p>
    <w:p w14:paraId="50748627" w14:textId="77777777" w:rsidR="003750E2" w:rsidRDefault="00000000">
      <w:pPr>
        <w:ind w:left="510"/>
      </w:pPr>
      <w:r>
        <w:rPr>
          <w:i/>
          <w:sz w:val="20"/>
        </w:rPr>
        <w:t>« En 2024, la dépense de soins hospitaliers du secteur privé lucratif atteint 27,1 milliards d’euros, en hausse de 4,1 % après +5,2 % en 2023 »</w:t>
      </w:r>
    </w:p>
    <w:p w14:paraId="214B62C8" w14:textId="77777777" w:rsidR="003750E2" w:rsidRDefault="00000000">
      <w:pPr>
        <w:ind w:left="510"/>
      </w:pPr>
      <w:r>
        <w:rPr>
          <w:i/>
          <w:sz w:val="20"/>
        </w:rPr>
        <w:t>« Les rémunérations des cliniques (20,5 milliards d’euros, soit 76 % du total) et les honoraires des praticiens libéraux (6,6 milliards d’euros, soit 24 %) »</w:t>
      </w:r>
    </w:p>
    <w:p w14:paraId="6419599D" w14:textId="77777777" w:rsidR="003750E2" w:rsidRDefault="00000000">
      <w:pPr>
        <w:ind w:left="510"/>
      </w:pPr>
      <w:r>
        <w:rPr>
          <w:i/>
          <w:sz w:val="20"/>
        </w:rPr>
        <w:t>« Les SMR et la dialyse progressent légèrement (autour de +1 %). »</w:t>
      </w:r>
    </w:p>
    <w:p w14:paraId="3B8FB666" w14:textId="77777777" w:rsidR="003750E2" w:rsidRDefault="00000000">
      <w:pPr>
        <w:ind w:left="510"/>
      </w:pPr>
      <w:r>
        <w:rPr>
          <w:i/>
          <w:sz w:val="20"/>
        </w:rPr>
        <w:t>« dans le secteur privé, la structure de financement évolue de façon plus importante en 2024 : la part de la Sécurité sociale recule à 87,9 % (-0,6 point) ; de même, la part des organismes complémentaires diminue de 0,2 point, à 5,1 %. La part des dépenses à la charge des ménages augmente de 0,8 point, pour s’établir à 6,7 %. »</w:t>
      </w:r>
    </w:p>
    <w:p w14:paraId="13554325" w14:textId="77777777" w:rsidR="003750E2" w:rsidRDefault="00000000">
      <w:pPr>
        <w:ind w:left="227"/>
      </w:pPr>
      <w:r>
        <w:rPr>
          <w:b/>
        </w:rPr>
        <w:t xml:space="preserve">Le doublement des franchises (slide 4, ligne 2024) : </w:t>
      </w:r>
      <w:r>
        <w:t>même publication de la DREES, dans la vue d’ensemble, qui cite parmi les causes de la moindre part publique « le doublement des franchises et participations forfaitaires ».</w:t>
      </w:r>
    </w:p>
    <w:p w14:paraId="48FD9EFC" w14:textId="77777777" w:rsidR="003750E2" w:rsidRDefault="00000000">
      <w:pPr>
        <w:spacing w:before="160" w:after="20"/>
      </w:pPr>
      <w:r>
        <w:rPr>
          <w:b/>
          <w:sz w:val="22"/>
        </w:rPr>
        <w:t>Pourquoi les séjours de l’hôpital public ne sont pas dans DAMIR : documentation du SNDS, fiche « Dépenses des établissements de santé publics et des ESPIC ex-DGF »</w:t>
      </w:r>
    </w:p>
    <w:p w14:paraId="44C8FA65" w14:textId="77777777" w:rsidR="003750E2" w:rsidRDefault="00000000">
      <w:pPr>
        <w:ind w:left="227"/>
      </w:pPr>
      <w:hyperlink r:id="rId12">
        <w:r>
          <w:rPr>
            <w:color w:val="1F5C99"/>
            <w:u w:val="single"/>
          </w:rPr>
          <w:t>https://documentation-snds.health</w:t>
        </w:r>
        <w:r>
          <w:rPr>
            <w:color w:val="1F5C99"/>
            <w:u w:val="single"/>
          </w:rPr>
          <w:t>-</w:t>
        </w:r>
        <w:r>
          <w:rPr>
            <w:color w:val="1F5C99"/>
            <w:u w:val="single"/>
          </w:rPr>
          <w:t>data-hub.fr/snds/fiches/depenses_hopital_public</w:t>
        </w:r>
      </w:hyperlink>
    </w:p>
    <w:p w14:paraId="6D3ACE27" w14:textId="77777777" w:rsidR="003750E2" w:rsidRDefault="00000000">
      <w:pPr>
        <w:ind w:left="227"/>
      </w:pPr>
      <w:r>
        <w:rPr>
          <w:b/>
        </w:rPr>
        <w:t xml:space="preserve">Ce qu’on en a mis dans le diapo : </w:t>
      </w:r>
      <w:r>
        <w:t>slide 2 (ce que DAMIR ne contient pas), slide 3 (« le ROC joue à l’hôpital public, dont les séjours ne sont pas dans DAMIR ») et slide 9. En gros : les hôpitaux publics sont payés par dotation, leurs séjours sont dans le PMSI, pas dans les remboursements individuels dont Open DAMIR est tiré. Seuls leurs actes et consultations externes y sont.</w:t>
      </w:r>
    </w:p>
    <w:p w14:paraId="0403A9BB" w14:textId="77777777" w:rsidR="003750E2" w:rsidRDefault="00000000">
      <w:pPr>
        <w:ind w:left="227"/>
      </w:pPr>
      <w:r>
        <w:rPr>
          <w:b/>
        </w:rPr>
        <w:lastRenderedPageBreak/>
        <w:t xml:space="preserve">Où c’est écrit : </w:t>
      </w:r>
      <w:r>
        <w:t>début de la fiche, paragraphe sur le champ couvert par le DCIR (le DCIR est la base des remboursements individuels dont Open DAMIR est l’extrait public).</w:t>
      </w:r>
    </w:p>
    <w:p w14:paraId="1B930C47" w14:textId="77777777" w:rsidR="003750E2" w:rsidRDefault="00000000">
      <w:pPr>
        <w:ind w:left="510"/>
      </w:pPr>
      <w:r>
        <w:rPr>
          <w:i/>
          <w:sz w:val="20"/>
        </w:rPr>
        <w:t>« Le DCIR ne couvre que le champ des ACE en facturation directe »</w:t>
      </w:r>
    </w:p>
    <w:p w14:paraId="734AD31C" w14:textId="77777777" w:rsidR="003750E2" w:rsidRDefault="00000000">
      <w:pPr>
        <w:ind w:left="510"/>
      </w:pPr>
      <w:r>
        <w:rPr>
          <w:i/>
          <w:sz w:val="20"/>
        </w:rPr>
        <w:t>« C’est dans le PMSI que les données de ces ES sont retrouvées de manière exhaustive »</w:t>
      </w:r>
    </w:p>
    <w:p w14:paraId="1891D8C7" w14:textId="77777777" w:rsidR="003750E2" w:rsidRDefault="00000000">
      <w:pPr>
        <w:spacing w:before="200"/>
      </w:pPr>
      <w:r>
        <w:rPr>
          <w:b/>
          <w:color w:val="EF4647"/>
          <w:sz w:val="24"/>
        </w:rPr>
        <w:t>3. Chaque chiffre du diapo, et d’où il vient</w:t>
      </w:r>
    </w:p>
    <w:tbl>
      <w:tblPr>
        <w:tblStyle w:val="Grilledutableau"/>
        <w:tblW w:w="0" w:type="auto"/>
        <w:tblLook w:val="04A0" w:firstRow="1" w:lastRow="0" w:firstColumn="1" w:lastColumn="0" w:noHBand="0" w:noVBand="1"/>
      </w:tblPr>
      <w:tblGrid>
        <w:gridCol w:w="794"/>
        <w:gridCol w:w="5443"/>
        <w:gridCol w:w="3402"/>
      </w:tblGrid>
      <w:tr w:rsidR="003750E2" w14:paraId="0821FB54" w14:textId="77777777">
        <w:tc>
          <w:tcPr>
            <w:tcW w:w="794" w:type="dxa"/>
            <w:shd w:val="clear" w:color="auto" w:fill="F2F2F2"/>
          </w:tcPr>
          <w:p w14:paraId="2E360AA8" w14:textId="77777777" w:rsidR="003750E2" w:rsidRDefault="00000000">
            <w:pPr>
              <w:spacing w:after="20"/>
            </w:pPr>
            <w:r>
              <w:rPr>
                <w:b/>
                <w:sz w:val="19"/>
              </w:rPr>
              <w:t>Slide</w:t>
            </w:r>
          </w:p>
        </w:tc>
        <w:tc>
          <w:tcPr>
            <w:tcW w:w="5443" w:type="dxa"/>
            <w:shd w:val="clear" w:color="auto" w:fill="F2F2F2"/>
          </w:tcPr>
          <w:p w14:paraId="6A43A9FE" w14:textId="77777777" w:rsidR="003750E2" w:rsidRDefault="00000000">
            <w:pPr>
              <w:spacing w:after="20"/>
            </w:pPr>
            <w:r>
              <w:rPr>
                <w:b/>
                <w:sz w:val="19"/>
              </w:rPr>
              <w:t>Chiffre</w:t>
            </w:r>
          </w:p>
        </w:tc>
        <w:tc>
          <w:tcPr>
            <w:tcW w:w="3402" w:type="dxa"/>
            <w:shd w:val="clear" w:color="auto" w:fill="F2F2F2"/>
          </w:tcPr>
          <w:p w14:paraId="40DD62BE" w14:textId="77777777" w:rsidR="003750E2" w:rsidRDefault="00000000">
            <w:pPr>
              <w:spacing w:after="20"/>
            </w:pPr>
            <w:r>
              <w:rPr>
                <w:b/>
                <w:sz w:val="19"/>
              </w:rPr>
              <w:t>D’où il vient</w:t>
            </w:r>
          </w:p>
        </w:tc>
      </w:tr>
      <w:tr w:rsidR="003750E2" w14:paraId="2BB5F86B" w14:textId="77777777">
        <w:tc>
          <w:tcPr>
            <w:tcW w:w="794" w:type="dxa"/>
          </w:tcPr>
          <w:p w14:paraId="1AB37300" w14:textId="77777777" w:rsidR="003750E2" w:rsidRDefault="00000000">
            <w:pPr>
              <w:spacing w:after="20"/>
            </w:pPr>
            <w:r>
              <w:rPr>
                <w:sz w:val="19"/>
              </w:rPr>
              <w:t>3</w:t>
            </w:r>
          </w:p>
        </w:tc>
        <w:tc>
          <w:tcPr>
            <w:tcW w:w="5443" w:type="dxa"/>
          </w:tcPr>
          <w:p w14:paraId="714F844A" w14:textId="77777777" w:rsidR="003750E2" w:rsidRDefault="00000000">
            <w:pPr>
              <w:spacing w:after="20"/>
            </w:pPr>
            <w:r>
              <w:rPr>
                <w:sz w:val="19"/>
              </w:rPr>
              <w:t>473 hôpitaux, un peu plus d’un sur deux, 88 AMC, 97 % des assurés, rejets 10-15 % → 0,1-0,2 %</w:t>
            </w:r>
          </w:p>
        </w:tc>
        <w:tc>
          <w:tcPr>
            <w:tcW w:w="3402" w:type="dxa"/>
          </w:tcPr>
          <w:p w14:paraId="1292FB0E" w14:textId="77777777" w:rsidR="003750E2" w:rsidRDefault="00000000">
            <w:pPr>
              <w:spacing w:after="20"/>
            </w:pPr>
            <w:r>
              <w:rPr>
                <w:sz w:val="19"/>
              </w:rPr>
              <w:t>Groupe VYV</w:t>
            </w:r>
          </w:p>
        </w:tc>
      </w:tr>
      <w:tr w:rsidR="003750E2" w14:paraId="2BBD29B6" w14:textId="77777777">
        <w:tc>
          <w:tcPr>
            <w:tcW w:w="794" w:type="dxa"/>
          </w:tcPr>
          <w:p w14:paraId="7F07DA6A" w14:textId="77777777" w:rsidR="003750E2" w:rsidRDefault="00000000">
            <w:pPr>
              <w:spacing w:after="20"/>
            </w:pPr>
            <w:r>
              <w:rPr>
                <w:sz w:val="19"/>
              </w:rPr>
              <w:t>3</w:t>
            </w:r>
          </w:p>
        </w:tc>
        <w:tc>
          <w:tcPr>
            <w:tcW w:w="5443" w:type="dxa"/>
          </w:tcPr>
          <w:p w14:paraId="6B530187" w14:textId="77777777" w:rsidR="003750E2" w:rsidRDefault="00000000">
            <w:pPr>
              <w:spacing w:after="20"/>
            </w:pPr>
            <w:r>
              <w:rPr>
                <w:sz w:val="19"/>
              </w:rPr>
              <w:t>Cliniques : pilotes rentrée 2025, montée en charge 09/2026, généralisation 2027</w:t>
            </w:r>
          </w:p>
        </w:tc>
        <w:tc>
          <w:tcPr>
            <w:tcW w:w="3402" w:type="dxa"/>
          </w:tcPr>
          <w:p w14:paraId="6A6E7CF8" w14:textId="77777777" w:rsidR="003750E2" w:rsidRDefault="00000000">
            <w:pPr>
              <w:spacing w:after="20"/>
            </w:pPr>
            <w:r>
              <w:rPr>
                <w:sz w:val="19"/>
              </w:rPr>
              <w:t>FHP-MCO</w:t>
            </w:r>
          </w:p>
        </w:tc>
      </w:tr>
      <w:tr w:rsidR="003750E2" w14:paraId="2C98E0C1" w14:textId="77777777">
        <w:tc>
          <w:tcPr>
            <w:tcW w:w="794" w:type="dxa"/>
          </w:tcPr>
          <w:p w14:paraId="12F5E903" w14:textId="77777777" w:rsidR="003750E2" w:rsidRDefault="00000000">
            <w:pPr>
              <w:spacing w:after="20"/>
            </w:pPr>
            <w:r>
              <w:rPr>
                <w:sz w:val="19"/>
              </w:rPr>
              <w:t>4</w:t>
            </w:r>
          </w:p>
        </w:tc>
        <w:tc>
          <w:tcPr>
            <w:tcW w:w="5443" w:type="dxa"/>
          </w:tcPr>
          <w:p w14:paraId="7EF8CCE9" w14:textId="77777777" w:rsidR="003750E2" w:rsidRDefault="00000000">
            <w:pPr>
              <w:spacing w:after="20"/>
            </w:pPr>
            <w:r>
              <w:rPr>
                <w:sz w:val="19"/>
              </w:rPr>
              <w:t>Réforme SMR 2024, factures retardées</w:t>
            </w:r>
          </w:p>
        </w:tc>
        <w:tc>
          <w:tcPr>
            <w:tcW w:w="3402" w:type="dxa"/>
          </w:tcPr>
          <w:p w14:paraId="29DA0905" w14:textId="77777777" w:rsidR="003750E2" w:rsidRDefault="00000000">
            <w:pPr>
              <w:spacing w:after="20"/>
            </w:pPr>
            <w:r>
              <w:rPr>
                <w:sz w:val="19"/>
              </w:rPr>
              <w:t>Sénat + Open DAMIR (part réglée dans l’année 89 % → 84,4 %)</w:t>
            </w:r>
          </w:p>
        </w:tc>
      </w:tr>
      <w:tr w:rsidR="003750E2" w14:paraId="2D521C0F" w14:textId="77777777">
        <w:tc>
          <w:tcPr>
            <w:tcW w:w="794" w:type="dxa"/>
          </w:tcPr>
          <w:p w14:paraId="7FF32114" w14:textId="77777777" w:rsidR="003750E2" w:rsidRDefault="00000000">
            <w:pPr>
              <w:spacing w:after="20"/>
            </w:pPr>
            <w:r>
              <w:rPr>
                <w:sz w:val="19"/>
              </w:rPr>
              <w:t>4</w:t>
            </w:r>
          </w:p>
        </w:tc>
        <w:tc>
          <w:tcPr>
            <w:tcW w:w="5443" w:type="dxa"/>
          </w:tcPr>
          <w:p w14:paraId="2D48FBB8" w14:textId="77777777" w:rsidR="003750E2" w:rsidRDefault="00000000">
            <w:pPr>
              <w:spacing w:after="20"/>
            </w:pPr>
            <w:r>
              <w:rPr>
                <w:sz w:val="19"/>
              </w:rPr>
              <w:t>Part réglée dans l’année : 91 %, 94 %, 89 % → 84 %</w:t>
            </w:r>
          </w:p>
        </w:tc>
        <w:tc>
          <w:tcPr>
            <w:tcW w:w="3402" w:type="dxa"/>
          </w:tcPr>
          <w:p w14:paraId="63ED9AA2" w14:textId="77777777" w:rsidR="003750E2" w:rsidRDefault="00000000">
            <w:pPr>
              <w:spacing w:after="20"/>
            </w:pPr>
            <w:r>
              <w:rPr>
                <w:sz w:val="19"/>
              </w:rPr>
              <w:t>Open DAMIR, cube des délais</w:t>
            </w:r>
          </w:p>
        </w:tc>
      </w:tr>
      <w:tr w:rsidR="003750E2" w14:paraId="2903F154" w14:textId="77777777">
        <w:tc>
          <w:tcPr>
            <w:tcW w:w="794" w:type="dxa"/>
          </w:tcPr>
          <w:p w14:paraId="420B31CF" w14:textId="77777777" w:rsidR="003750E2" w:rsidRDefault="00000000">
            <w:pPr>
              <w:spacing w:after="20"/>
            </w:pPr>
            <w:r>
              <w:rPr>
                <w:sz w:val="19"/>
              </w:rPr>
              <w:t>4</w:t>
            </w:r>
          </w:p>
        </w:tc>
        <w:tc>
          <w:tcPr>
            <w:tcW w:w="5443" w:type="dxa"/>
          </w:tcPr>
          <w:p w14:paraId="42829B2E" w14:textId="77777777" w:rsidR="003750E2" w:rsidRDefault="00000000">
            <w:pPr>
              <w:spacing w:after="20"/>
            </w:pPr>
            <w:r>
              <w:rPr>
                <w:sz w:val="19"/>
              </w:rPr>
              <w:t>Part Sécu du privé −0,6 point</w:t>
            </w:r>
          </w:p>
        </w:tc>
        <w:tc>
          <w:tcPr>
            <w:tcW w:w="3402" w:type="dxa"/>
          </w:tcPr>
          <w:p w14:paraId="27880A68" w14:textId="77777777" w:rsidR="003750E2" w:rsidRDefault="00000000">
            <w:pPr>
              <w:spacing w:after="20"/>
            </w:pPr>
            <w:r>
              <w:rPr>
                <w:sz w:val="19"/>
              </w:rPr>
              <w:t>DREES fiche 02</w:t>
            </w:r>
          </w:p>
        </w:tc>
      </w:tr>
      <w:tr w:rsidR="003750E2" w14:paraId="02531279" w14:textId="77777777">
        <w:tc>
          <w:tcPr>
            <w:tcW w:w="794" w:type="dxa"/>
          </w:tcPr>
          <w:p w14:paraId="174DEA2D" w14:textId="77777777" w:rsidR="003750E2" w:rsidRDefault="00000000">
            <w:pPr>
              <w:spacing w:after="20"/>
            </w:pPr>
            <w:r>
              <w:rPr>
                <w:sz w:val="19"/>
              </w:rPr>
              <w:t>5</w:t>
            </w:r>
          </w:p>
        </w:tc>
        <w:tc>
          <w:tcPr>
            <w:tcW w:w="5443" w:type="dxa"/>
          </w:tcPr>
          <w:p w14:paraId="231D7ED7" w14:textId="77777777" w:rsidR="003750E2" w:rsidRDefault="00000000">
            <w:pPr>
              <w:spacing w:after="20"/>
            </w:pPr>
            <w:r>
              <w:rPr>
                <w:sz w:val="19"/>
              </w:rPr>
              <w:t>+2,4 % de reste après AMO (345 → 353 M€)</w:t>
            </w:r>
          </w:p>
        </w:tc>
        <w:tc>
          <w:tcPr>
            <w:tcW w:w="3402" w:type="dxa"/>
          </w:tcPr>
          <w:p w14:paraId="3D97C450" w14:textId="77777777" w:rsidR="003750E2" w:rsidRDefault="00000000">
            <w:pPr>
              <w:spacing w:after="20"/>
            </w:pPr>
            <w:r>
              <w:rPr>
                <w:sz w:val="19"/>
              </w:rPr>
              <w:t>Open DAMIR, séjours en GHS, année de soins</w:t>
            </w:r>
          </w:p>
        </w:tc>
      </w:tr>
      <w:tr w:rsidR="003750E2" w14:paraId="08CA96DB" w14:textId="77777777">
        <w:tc>
          <w:tcPr>
            <w:tcW w:w="794" w:type="dxa"/>
          </w:tcPr>
          <w:p w14:paraId="47F86487" w14:textId="77777777" w:rsidR="003750E2" w:rsidRDefault="00000000">
            <w:pPr>
              <w:spacing w:after="20"/>
            </w:pPr>
            <w:r>
              <w:rPr>
                <w:sz w:val="19"/>
              </w:rPr>
              <w:t>6</w:t>
            </w:r>
          </w:p>
        </w:tc>
        <w:tc>
          <w:tcPr>
            <w:tcW w:w="5443" w:type="dxa"/>
          </w:tcPr>
          <w:p w14:paraId="1F356E35" w14:textId="77777777" w:rsidR="003750E2" w:rsidRDefault="00000000">
            <w:pPr>
              <w:spacing w:after="20"/>
            </w:pPr>
            <w:r>
              <w:rPr>
                <w:sz w:val="19"/>
              </w:rPr>
              <w:t>+8,5 % (546 → 593 M€), +33,2 % (541 → 721 M€)</w:t>
            </w:r>
          </w:p>
        </w:tc>
        <w:tc>
          <w:tcPr>
            <w:tcW w:w="3402" w:type="dxa"/>
          </w:tcPr>
          <w:p w14:paraId="5FD1A598" w14:textId="77777777" w:rsidR="003750E2" w:rsidRDefault="00000000">
            <w:pPr>
              <w:spacing w:after="20"/>
            </w:pPr>
            <w:r>
              <w:rPr>
                <w:sz w:val="19"/>
              </w:rPr>
              <w:t>Open DAMIR, rééducation, année de soins puis de règlement</w:t>
            </w:r>
          </w:p>
        </w:tc>
      </w:tr>
      <w:tr w:rsidR="003750E2" w14:paraId="280F6D90" w14:textId="77777777">
        <w:tc>
          <w:tcPr>
            <w:tcW w:w="794" w:type="dxa"/>
          </w:tcPr>
          <w:p w14:paraId="5F0A12D8" w14:textId="77777777" w:rsidR="003750E2" w:rsidRDefault="00000000">
            <w:pPr>
              <w:spacing w:after="20"/>
            </w:pPr>
            <w:r>
              <w:rPr>
                <w:sz w:val="19"/>
              </w:rPr>
              <w:t>7</w:t>
            </w:r>
          </w:p>
        </w:tc>
        <w:tc>
          <w:tcPr>
            <w:tcW w:w="5443" w:type="dxa"/>
          </w:tcPr>
          <w:p w14:paraId="2081C6A8" w14:textId="77777777" w:rsidR="003750E2" w:rsidRDefault="00000000">
            <w:pPr>
              <w:spacing w:after="20"/>
            </w:pPr>
            <w:r>
              <w:rPr>
                <w:sz w:val="19"/>
              </w:rPr>
              <w:t>×2 à ×3,8 avant 50 ans, −31 % après 80 ans</w:t>
            </w:r>
          </w:p>
        </w:tc>
        <w:tc>
          <w:tcPr>
            <w:tcW w:w="3402" w:type="dxa"/>
          </w:tcPr>
          <w:p w14:paraId="2DAEDADF" w14:textId="77777777" w:rsidR="003750E2" w:rsidRDefault="00000000">
            <w:pPr>
              <w:spacing w:after="20"/>
            </w:pPr>
            <w:r>
              <w:rPr>
                <w:sz w:val="19"/>
              </w:rPr>
              <w:t>Open DAMIR, rééducation par tranche d’âge</w:t>
            </w:r>
          </w:p>
        </w:tc>
      </w:tr>
      <w:tr w:rsidR="003750E2" w14:paraId="10209ACB" w14:textId="77777777">
        <w:tc>
          <w:tcPr>
            <w:tcW w:w="794" w:type="dxa"/>
          </w:tcPr>
          <w:p w14:paraId="72EAEAE7" w14:textId="77777777" w:rsidR="003750E2" w:rsidRDefault="00000000">
            <w:pPr>
              <w:spacing w:after="20"/>
            </w:pPr>
            <w:r>
              <w:rPr>
                <w:sz w:val="19"/>
              </w:rPr>
              <w:t>8</w:t>
            </w:r>
          </w:p>
        </w:tc>
        <w:tc>
          <w:tcPr>
            <w:tcW w:w="5443" w:type="dxa"/>
          </w:tcPr>
          <w:p w14:paraId="39428599" w14:textId="77777777" w:rsidR="003750E2" w:rsidRDefault="00000000">
            <w:pPr>
              <w:spacing w:after="20"/>
            </w:pPr>
            <w:r>
              <w:rPr>
                <w:sz w:val="19"/>
              </w:rPr>
              <w:t>+10 % par an (434, 478, 498 M€), part des dépassements 32,8 → 35,7 %</w:t>
            </w:r>
          </w:p>
        </w:tc>
        <w:tc>
          <w:tcPr>
            <w:tcW w:w="3402" w:type="dxa"/>
          </w:tcPr>
          <w:p w14:paraId="480C04CA" w14:textId="77777777" w:rsidR="003750E2" w:rsidRDefault="00000000">
            <w:pPr>
              <w:spacing w:after="20"/>
            </w:pPr>
            <w:r>
              <w:rPr>
                <w:sz w:val="19"/>
              </w:rPr>
              <w:t>Open DAMIR, anesthésie</w:t>
            </w:r>
          </w:p>
        </w:tc>
      </w:tr>
    </w:tbl>
    <w:p w14:paraId="4DDF1651" w14:textId="77777777" w:rsidR="005F12C6" w:rsidRDefault="005F12C6"/>
    <w:sectPr w:rsidR="005F12C6"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9402154">
    <w:abstractNumId w:val="8"/>
  </w:num>
  <w:num w:numId="2" w16cid:durableId="1603293582">
    <w:abstractNumId w:val="6"/>
  </w:num>
  <w:num w:numId="3" w16cid:durableId="378436625">
    <w:abstractNumId w:val="5"/>
  </w:num>
  <w:num w:numId="4" w16cid:durableId="16590597">
    <w:abstractNumId w:val="4"/>
  </w:num>
  <w:num w:numId="5" w16cid:durableId="1010835321">
    <w:abstractNumId w:val="7"/>
  </w:num>
  <w:num w:numId="6" w16cid:durableId="2129741445">
    <w:abstractNumId w:val="3"/>
  </w:num>
  <w:num w:numId="7" w16cid:durableId="2100984875">
    <w:abstractNumId w:val="2"/>
  </w:num>
  <w:num w:numId="8" w16cid:durableId="1582520940">
    <w:abstractNumId w:val="1"/>
  </w:num>
  <w:num w:numId="9" w16cid:durableId="968439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BE9"/>
    <w:rsid w:val="00326F90"/>
    <w:rsid w:val="003750E2"/>
    <w:rsid w:val="005F12C6"/>
    <w:rsid w:val="00936212"/>
    <w:rsid w:val="00AA1D8D"/>
    <w:rsid w:val="00B47730"/>
    <w:rsid w:val="00CB0664"/>
    <w:rsid w:val="00E453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177A4"/>
  <w14:defaultImageDpi w14:val="300"/>
  <w15:docId w15:val="{CED3E5B6-FF4B-4BB1-9B46-8B76BC621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eastAsia="Calibri" w:hAnsi="Calibri"/>
      <w:color w:val="404040"/>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oupe-vyv.fr/informations/le-dispositif-roc-ou-en-est-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esam-vitale.fr/en/roc-es" TargetMode="External"/><Relationship Id="rId12" Type="http://schemas.openxmlformats.org/officeDocument/2006/relationships/hyperlink" Target="https://documentation-snds.health-data-hub.fr/snds/fiches/depenses_hopital_publi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ssurance-maladie.ameli.fr/etudes-et-donnees/open-damir-depenses-sante-interregimes" TargetMode="External"/><Relationship Id="rId11" Type="http://schemas.openxmlformats.org/officeDocument/2006/relationships/hyperlink" Target="https://drees.solidarites-sante.gouv.fr/sites/default/files/2025-12/CNS%20-%20Fiche%2002%20-%20Les%20soins%20hospitaliers.pdf" TargetMode="External"/><Relationship Id="rId5" Type="http://schemas.openxmlformats.org/officeDocument/2006/relationships/webSettings" Target="webSettings.xml"/><Relationship Id="rId10" Type="http://schemas.openxmlformats.org/officeDocument/2006/relationships/hyperlink" Target="https://www.senat.fr/questions/base/2024/qSEQ241000269.html" TargetMode="External"/><Relationship Id="rId4" Type="http://schemas.openxmlformats.org/officeDocument/2006/relationships/settings" Target="settings.xml"/><Relationship Id="rId9" Type="http://schemas.openxmlformats.org/officeDocument/2006/relationships/hyperlink" Target="https://www.fhpmco.fr/2025/07/21/roc-place-aux-cliniques-et-hopitaux-priv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1796</TotalTime>
  <Pages>1</Pages>
  <Words>1325</Words>
  <Characters>7293</Characters>
  <Application>Microsoft Office Word</Application>
  <DocSecurity>0</DocSecurity>
  <Lines>60</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MALAURENT</cp:lastModifiedBy>
  <cp:revision>3</cp:revision>
  <dcterms:created xsi:type="dcterms:W3CDTF">2013-12-23T23:15:00Z</dcterms:created>
  <dcterms:modified xsi:type="dcterms:W3CDTF">2026-09-23T07:31:00Z</dcterms:modified>
  <cp:category/>
</cp:coreProperties>
</file>