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F4647"/>
          <w:sz w:val="32"/>
        </w:rPr>
        <w:t>Hospitalisation : dérive réelle ou effet ROC ?</w:t>
      </w:r>
    </w:p>
    <w:p>
      <w:r>
        <w:rPr>
          <w:sz w:val="21"/>
        </w:rPr>
        <w:t>Sources de l’étude et ce qui en a été tiré. Septembre 2026.</w:t>
      </w:r>
    </w:p>
    <w:p>
      <w:pPr>
        <w:spacing w:before="200" w:after="60"/>
      </w:pPr>
      <w:r>
        <w:rPr>
          <w:b/>
          <w:color w:val="EF4647"/>
          <w:sz w:val="24"/>
        </w:rPr>
        <w:t>1. Les données : Open DAMIR</w:t>
      </w:r>
    </w:p>
    <w:p>
      <w:r>
        <w:rPr>
          <w:b/>
        </w:rPr>
        <w:t xml:space="preserve">Ce que c’est. </w:t>
      </w:r>
      <w:r>
        <w:t>Base publique de l’Assurance Maladie (Cnam), tous régimes, publiée chaque mois : dépenses présentées, remboursements, dépassements, par mois de soins, prestation, région, âge et sexe. Elle couvre les soins de ville et les cliniques. Les séjours de l’hôpital public n’y sont pas (financés par dotation, ils sont dans le PMSI), ni ce que paie la complémentaire, ni la chambre particulière.</w:t>
      </w:r>
    </w:p>
    <w:p>
      <w:r>
        <w:rPr>
          <w:b/>
        </w:rPr>
        <w:t xml:space="preserve">Ce qui a été utilisé. </w:t>
      </w:r>
      <w:r>
        <w:t>Flux arrêtés au 31/12/2025, soins de 2022 à 2025. Deux datations : l’année de soins (2025 incomplète, liquidée à 85 à 94 % selon le poste) et l’année de règlement de l’Assurance Maladie (complète). Lecture avec l’outil DAMIR Studio (Forsides), sur le grand poste Hospitalisation, poste par poste et prestation par prestation.</w:t>
      </w:r>
    </w:p>
    <w:p>
      <w:r>
        <w:rPr>
          <w:b/>
        </w:rPr>
        <w:t xml:space="preserve">Mesures. </w:t>
      </w:r>
      <w:r>
        <w:t>Reste après AMO = dépense présentée moins remboursement. Sur les séjours, c’est le ticket modérateur. Sur les honoraires, ce sont les dépassements. Part AMO = remboursement / dépense.</w:t>
      </w:r>
    </w:p>
    <w:p>
      <w:r>
        <w:rPr>
          <w:b/>
        </w:rPr>
        <w:t xml:space="preserve">Les trois blocs. </w:t>
      </w:r>
      <w:r>
        <w:t>Séjours ordinaires en clinique : frais de séjour en GHS (médecine, chirurgie, obstétrique). Rééducation : frais de séjour SSR et prestations de rééducation créées en 2024, plus les anciens frais de séjour au prix de journée. Anesthésie : actes d’anesthésie CCAM, 95 % du poste Hospitalisation Honoraires.</w:t>
      </w:r>
    </w:p>
    <w:p>
      <w:pPr>
        <w:spacing w:before="200" w:after="60"/>
      </w:pPr>
      <w:r>
        <w:rPr>
          <w:b/>
          <w:color w:val="EF4647"/>
          <w:sz w:val="24"/>
        </w:rPr>
        <w:t>2. Les chiffres du diapo et leur origine</w:t>
      </w:r>
    </w:p>
    <w:tbl>
      <w:tblPr>
        <w:tblStyle w:val="TableGrid"/>
        <w:tblW w:type="auto" w:w="0"/>
        <w:tblLook w:firstColumn="1" w:firstRow="1" w:lastColumn="0" w:lastRow="0" w:noHBand="0" w:noVBand="1" w:val="04A0"/>
      </w:tblPr>
      <w:tblGrid>
        <w:gridCol w:w="3324"/>
        <w:gridCol w:w="3324"/>
        <w:gridCol w:w="3324"/>
      </w:tblGrid>
      <w:tr>
        <w:tc>
          <w:tcPr>
            <w:tcW w:type="dxa" w:w="2608"/>
            <w:shd w:val="clear" w:color="auto" w:fill="F2F2F2"/>
          </w:tcPr>
          <w:p>
            <w:pPr>
              <w:spacing w:after="20"/>
            </w:pPr>
            <w:r/>
            <w:r>
              <w:rPr>
                <w:b/>
                <w:sz w:val="19"/>
              </w:rPr>
              <w:t>Chiffre</w:t>
            </w:r>
          </w:p>
        </w:tc>
        <w:tc>
          <w:tcPr>
            <w:tcW w:type="dxa" w:w="3628"/>
            <w:shd w:val="clear" w:color="auto" w:fill="F2F2F2"/>
          </w:tcPr>
          <w:p>
            <w:pPr>
              <w:spacing w:after="20"/>
            </w:pPr>
            <w:r/>
            <w:r>
              <w:rPr>
                <w:b/>
                <w:sz w:val="19"/>
              </w:rPr>
              <w:t>Valeur</w:t>
            </w:r>
          </w:p>
        </w:tc>
        <w:tc>
          <w:tcPr>
            <w:tcW w:type="dxa" w:w="3402"/>
            <w:shd w:val="clear" w:color="auto" w:fill="F2F2F2"/>
          </w:tcPr>
          <w:p>
            <w:pPr>
              <w:spacing w:after="20"/>
            </w:pPr>
            <w:r/>
            <w:r>
              <w:rPr>
                <w:b/>
                <w:sz w:val="19"/>
              </w:rPr>
              <w:t>Origine</w:t>
            </w:r>
          </w:p>
        </w:tc>
      </w:tr>
      <w:tr>
        <w:tc>
          <w:tcPr>
            <w:tcW w:type="dxa" w:w="2608"/>
          </w:tcPr>
          <w:p>
            <w:pPr>
              <w:spacing w:after="20"/>
            </w:pPr>
            <w:r/>
            <w:r>
              <w:rPr>
                <w:sz w:val="19"/>
              </w:rPr>
              <w:t>Séjours ordinaires, reste après AMO</w:t>
            </w:r>
          </w:p>
        </w:tc>
        <w:tc>
          <w:tcPr>
            <w:tcW w:type="dxa" w:w="3628"/>
          </w:tcPr>
          <w:p>
            <w:pPr>
              <w:spacing w:after="20"/>
            </w:pPr>
            <w:r/>
            <w:r>
              <w:rPr>
                <w:sz w:val="19"/>
              </w:rPr>
              <w:t>+2,4 % en 2024 (345 à 353 M€)</w:t>
            </w:r>
          </w:p>
        </w:tc>
        <w:tc>
          <w:tcPr>
            <w:tcW w:type="dxa" w:w="3402"/>
          </w:tcPr>
          <w:p>
            <w:pPr>
              <w:spacing w:after="20"/>
            </w:pPr>
            <w:r/>
            <w:r>
              <w:rPr>
                <w:sz w:val="19"/>
              </w:rPr>
              <w:t>Open DAMIR, année de soins, calcul DAMIR Studio</w:t>
            </w:r>
          </w:p>
        </w:tc>
      </w:tr>
      <w:tr>
        <w:tc>
          <w:tcPr>
            <w:tcW w:type="dxa" w:w="2608"/>
          </w:tcPr>
          <w:p>
            <w:pPr>
              <w:spacing w:after="20"/>
            </w:pPr>
            <w:r/>
            <w:r>
              <w:rPr>
                <w:sz w:val="19"/>
              </w:rPr>
              <w:t>Anesthésie, dépassements</w:t>
            </w:r>
          </w:p>
        </w:tc>
        <w:tc>
          <w:tcPr>
            <w:tcW w:type="dxa" w:w="3628"/>
          </w:tcPr>
          <w:p>
            <w:pPr>
              <w:spacing w:after="20"/>
            </w:pPr>
            <w:r/>
            <w:r>
              <w:rPr>
                <w:sz w:val="19"/>
              </w:rPr>
              <w:t>+10 % par an (434, 478, 498 M€), part des dépassements 32,8 % à 35,7 %</w:t>
            </w:r>
          </w:p>
        </w:tc>
        <w:tc>
          <w:tcPr>
            <w:tcW w:type="dxa" w:w="3402"/>
          </w:tcPr>
          <w:p>
            <w:pPr>
              <w:spacing w:after="20"/>
            </w:pPr>
            <w:r/>
            <w:r>
              <w:rPr>
                <w:sz w:val="19"/>
              </w:rPr>
              <w:t>Open DAMIR, deux datations, calcul DAMIR Studio</w:t>
            </w:r>
          </w:p>
        </w:tc>
      </w:tr>
      <w:tr>
        <w:tc>
          <w:tcPr>
            <w:tcW w:type="dxa" w:w="2608"/>
          </w:tcPr>
          <w:p>
            <w:pPr>
              <w:spacing w:after="20"/>
            </w:pPr>
            <w:r/>
            <w:r>
              <w:rPr>
                <w:sz w:val="19"/>
              </w:rPr>
              <w:t>Rééducation, reste après AMO</w:t>
            </w:r>
          </w:p>
        </w:tc>
        <w:tc>
          <w:tcPr>
            <w:tcW w:type="dxa" w:w="3628"/>
          </w:tcPr>
          <w:p>
            <w:pPr>
              <w:spacing w:after="20"/>
            </w:pPr>
            <w:r/>
            <w:r>
              <w:rPr>
                <w:sz w:val="19"/>
              </w:rPr>
              <w:t>+8,5 % en 2024 (546 à 593 M€), environ +20 % en 2025 à maturité</w:t>
            </w:r>
          </w:p>
        </w:tc>
        <w:tc>
          <w:tcPr>
            <w:tcW w:type="dxa" w:w="3402"/>
          </w:tcPr>
          <w:p>
            <w:pPr>
              <w:spacing w:after="20"/>
            </w:pPr>
            <w:r/>
            <w:r>
              <w:rPr>
                <w:sz w:val="19"/>
              </w:rPr>
              <w:t>Open DAMIR, année de soins, redressement par la part réglée dans l’année</w:t>
            </w:r>
          </w:p>
        </w:tc>
      </w:tr>
      <w:tr>
        <w:tc>
          <w:tcPr>
            <w:tcW w:type="dxa" w:w="2608"/>
          </w:tcPr>
          <w:p>
            <w:pPr>
              <w:spacing w:after="20"/>
            </w:pPr>
            <w:r/>
            <w:r>
              <w:rPr>
                <w:sz w:val="19"/>
              </w:rPr>
              <w:t>Rééducation par âge</w:t>
            </w:r>
          </w:p>
        </w:tc>
        <w:tc>
          <w:tcPr>
            <w:tcW w:type="dxa" w:w="3628"/>
          </w:tcPr>
          <w:p>
            <w:pPr>
              <w:spacing w:after="20"/>
            </w:pPr>
            <w:r/>
            <w:r>
              <w:rPr>
                <w:sz w:val="19"/>
              </w:rPr>
              <w:t>×2 à ×3,8 avant 50 ans, −31 % après 80 ans (2023 à 2024)</w:t>
            </w:r>
          </w:p>
        </w:tc>
        <w:tc>
          <w:tcPr>
            <w:tcW w:type="dxa" w:w="3402"/>
          </w:tcPr>
          <w:p>
            <w:pPr>
              <w:spacing w:after="20"/>
            </w:pPr>
            <w:r/>
            <w:r>
              <w:rPr>
                <w:sz w:val="19"/>
              </w:rPr>
              <w:t>Open DAMIR, découpage par tranche d’âge</w:t>
            </w:r>
          </w:p>
        </w:tc>
      </w:tr>
      <w:tr>
        <w:tc>
          <w:tcPr>
            <w:tcW w:type="dxa" w:w="2608"/>
          </w:tcPr>
          <w:p>
            <w:pPr>
              <w:spacing w:after="20"/>
            </w:pPr>
            <w:r/>
            <w:r>
              <w:rPr>
                <w:sz w:val="19"/>
              </w:rPr>
              <w:t>Rééducation, date de paiement 2025</w:t>
            </w:r>
          </w:p>
        </w:tc>
        <w:tc>
          <w:tcPr>
            <w:tcW w:type="dxa" w:w="3628"/>
          </w:tcPr>
          <w:p>
            <w:pPr>
              <w:spacing w:after="20"/>
            </w:pPr>
            <w:r/>
            <w:r>
              <w:rPr>
                <w:sz w:val="19"/>
              </w:rPr>
              <w:t>+33 % de reste après AMO (541 à 721 M€)</w:t>
            </w:r>
          </w:p>
        </w:tc>
        <w:tc>
          <w:tcPr>
            <w:tcW w:type="dxa" w:w="3402"/>
          </w:tcPr>
          <w:p>
            <w:pPr>
              <w:spacing w:after="20"/>
            </w:pPr>
            <w:r/>
            <w:r>
              <w:rPr>
                <w:sz w:val="19"/>
              </w:rPr>
              <w:t>Open DAMIR, année de règlement</w:t>
            </w:r>
          </w:p>
        </w:tc>
      </w:tr>
      <w:tr>
        <w:tc>
          <w:tcPr>
            <w:tcW w:type="dxa" w:w="2608"/>
          </w:tcPr>
          <w:p>
            <w:pPr>
              <w:spacing w:after="20"/>
            </w:pPr>
            <w:r/>
            <w:r>
              <w:rPr>
                <w:sz w:val="19"/>
              </w:rPr>
              <w:t>Cadence de paiement AMO</w:t>
            </w:r>
          </w:p>
        </w:tc>
        <w:tc>
          <w:tcPr>
            <w:tcW w:type="dxa" w:w="3628"/>
          </w:tcPr>
          <w:p>
            <w:pPr>
              <w:spacing w:after="20"/>
            </w:pPr>
            <w:r/>
            <w:r>
              <w:rPr>
                <w:sz w:val="19"/>
              </w:rPr>
              <w:t>91 % réglés dans l’année (séjours), 94 % (anesthésie), 89 % puis 84 % (rééducation)</w:t>
            </w:r>
          </w:p>
        </w:tc>
        <w:tc>
          <w:tcPr>
            <w:tcW w:type="dxa" w:w="3402"/>
          </w:tcPr>
          <w:p>
            <w:pPr>
              <w:spacing w:after="20"/>
            </w:pPr>
            <w:r/>
            <w:r>
              <w:rPr>
                <w:sz w:val="19"/>
              </w:rPr>
              <w:t>Open DAMIR, cube des délais, part de l’année de soins réglée au 31/12</w:t>
            </w:r>
          </w:p>
        </w:tc>
      </w:tr>
      <w:tr>
        <w:tc>
          <w:tcPr>
            <w:tcW w:type="dxa" w:w="2608"/>
          </w:tcPr>
          <w:p>
            <w:pPr>
              <w:spacing w:after="20"/>
            </w:pPr>
            <w:r/>
            <w:r>
              <w:rPr>
                <w:sz w:val="19"/>
              </w:rPr>
              <w:t>Part AMO de l’ensemble</w:t>
            </w:r>
          </w:p>
        </w:tc>
        <w:tc>
          <w:tcPr>
            <w:tcW w:type="dxa" w:w="3628"/>
          </w:tcPr>
          <w:p>
            <w:pPr>
              <w:spacing w:after="20"/>
            </w:pPr>
            <w:r/>
            <w:r>
              <w:rPr>
                <w:sz w:val="19"/>
              </w:rPr>
              <w:t>85,5 %, 87,6 %, 93,1 % : artefact (dotation SSR à 100 %, forfait journalier absent)</w:t>
            </w:r>
          </w:p>
        </w:tc>
        <w:tc>
          <w:tcPr>
            <w:tcW w:type="dxa" w:w="3402"/>
          </w:tcPr>
          <w:p>
            <w:pPr>
              <w:spacing w:after="20"/>
            </w:pPr>
            <w:r/>
            <w:r>
              <w:rPr>
                <w:sz w:val="19"/>
              </w:rPr>
              <w:t>Open DAMIR, contrôle poste par poste</w:t>
            </w:r>
          </w:p>
        </w:tc>
      </w:tr>
    </w:tbl>
    <w:p>
      <w:pPr>
        <w:spacing w:after="40"/>
      </w:pPr>
    </w:p>
    <w:p>
      <w:pPr>
        <w:spacing w:before="200" w:after="60"/>
      </w:pPr>
      <w:r>
        <w:rPr>
          <w:b/>
          <w:color w:val="EF4647"/>
          <w:sz w:val="24"/>
        </w:rPr>
        <w:t>3. Les sources externes</w:t>
      </w:r>
    </w:p>
    <w:tbl>
      <w:tblPr>
        <w:tblStyle w:val="TableGrid"/>
        <w:tblW w:type="auto" w:w="0"/>
        <w:tblLook w:firstColumn="1" w:firstRow="1" w:lastColumn="0" w:lastRow="0" w:noHBand="0" w:noVBand="1" w:val="04A0"/>
      </w:tblPr>
      <w:tblGrid>
        <w:gridCol w:w="4986"/>
        <w:gridCol w:w="4986"/>
      </w:tblGrid>
      <w:tr>
        <w:tc>
          <w:tcPr>
            <w:tcW w:type="dxa" w:w="3402"/>
            <w:shd w:val="clear" w:color="auto" w:fill="F2F2F2"/>
          </w:tcPr>
          <w:p>
            <w:pPr>
              <w:spacing w:after="20"/>
            </w:pPr>
            <w:r/>
            <w:r>
              <w:rPr>
                <w:b/>
                <w:sz w:val="19"/>
              </w:rPr>
              <w:t>Source</w:t>
            </w:r>
          </w:p>
        </w:tc>
        <w:tc>
          <w:tcPr>
            <w:tcW w:type="dxa" w:w="6236"/>
            <w:shd w:val="clear" w:color="auto" w:fill="F2F2F2"/>
          </w:tcPr>
          <w:p>
            <w:pPr>
              <w:spacing w:after="20"/>
            </w:pPr>
            <w:r/>
            <w:r>
              <w:rPr>
                <w:b/>
                <w:sz w:val="19"/>
              </w:rPr>
              <w:t>Ce qui en a été retenu</w:t>
            </w:r>
          </w:p>
        </w:tc>
      </w:tr>
      <w:tr>
        <w:tc>
          <w:tcPr>
            <w:tcW w:type="dxa" w:w="3402"/>
          </w:tcPr>
          <w:p>
            <w:pPr>
              <w:spacing w:after="20"/>
            </w:pPr>
            <w:r/>
            <w:r>
              <w:rPr>
                <w:sz w:val="19"/>
              </w:rPr>
              <w:t>GIE SESAM-Vitale, page « ROC Établissements » (sesam-vitale.fr)</w:t>
            </w:r>
          </w:p>
        </w:tc>
        <w:tc>
          <w:tcPr>
            <w:tcW w:type="dxa" w:w="6236"/>
          </w:tcPr>
          <w:p>
            <w:pPr>
              <w:spacing w:after="20"/>
            </w:pPr>
            <w:r/>
            <w:r>
              <w:rPr>
                <w:sz w:val="19"/>
              </w:rPr>
              <w:t>Définition du ROC : tiers payant dématérialisé de la part complémentaire, services de vérification des droits, de calcul et d’engagement de paiement. Établissements éligibles : publics, ESPIC, cliniques.</w:t>
            </w:r>
          </w:p>
        </w:tc>
      </w:tr>
      <w:tr>
        <w:tc>
          <w:tcPr>
            <w:tcW w:type="dxa" w:w="3402"/>
          </w:tcPr>
          <w:p>
            <w:pPr>
              <w:spacing w:after="20"/>
            </w:pPr>
            <w:r/>
            <w:r>
              <w:rPr>
                <w:sz w:val="19"/>
              </w:rPr>
              <w:t>Groupe VYV, « Le dispositif ROC : où en est-on ? » (groupe-vyv.fr)</w:t>
            </w:r>
          </w:p>
        </w:tc>
        <w:tc>
          <w:tcPr>
            <w:tcW w:type="dxa" w:w="6236"/>
          </w:tcPr>
          <w:p>
            <w:pPr>
              <w:spacing w:after="20"/>
            </w:pPr>
            <w:r/>
            <w:r>
              <w:rPr>
                <w:sz w:val="19"/>
              </w:rPr>
              <w:t>Au 19/09/2024 : 473 établissements entrés dans le dispositif, soit 58 %. 88 complémentaires raccordées, 97 % de la population protégée. Rejets de factures passés de 10 à 15 % à 0,1 à 0,2 %. Fin du déploiement 2025 à 2026.</w:t>
            </w:r>
          </w:p>
        </w:tc>
      </w:tr>
      <w:tr>
        <w:tc>
          <w:tcPr>
            <w:tcW w:type="dxa" w:w="3402"/>
          </w:tcPr>
          <w:p>
            <w:pPr>
              <w:spacing w:after="20"/>
            </w:pPr>
            <w:r/>
            <w:r>
              <w:rPr>
                <w:sz w:val="19"/>
              </w:rPr>
              <w:t>FHP-MCO, « ROC : place aux cliniques et hôpitaux privés », 21/07/2025 (fhpmco.fr)</w:t>
            </w:r>
          </w:p>
        </w:tc>
        <w:tc>
          <w:tcPr>
            <w:tcW w:type="dxa" w:w="6236"/>
          </w:tcPr>
          <w:p>
            <w:pPr>
              <w:spacing w:after="20"/>
            </w:pPr>
            <w:r/>
            <w:r>
              <w:rPr>
                <w:sz w:val="19"/>
              </w:rPr>
              <w:t>Cliniques : deux pilotes à la rentrée 2025, montée en charge en septembre 2026, généralisation en 2027.</w:t>
            </w:r>
          </w:p>
        </w:tc>
      </w:tr>
      <w:tr>
        <w:tc>
          <w:tcPr>
            <w:tcW w:type="dxa" w:w="3402"/>
          </w:tcPr>
          <w:p>
            <w:pPr>
              <w:spacing w:after="20"/>
            </w:pPr>
            <w:r/>
            <w:r>
              <w:rPr>
                <w:sz w:val="19"/>
              </w:rPr>
              <w:t>Sénat, question écrite 2024 sur la réforme du financement des SMR (senat.fr, qSEQ241000269)</w:t>
            </w:r>
          </w:p>
        </w:tc>
        <w:tc>
          <w:tcPr>
            <w:tcW w:type="dxa" w:w="6236"/>
          </w:tcPr>
          <w:p>
            <w:pPr>
              <w:spacing w:after="20"/>
            </w:pPr>
            <w:r/>
            <w:r>
              <w:rPr>
                <w:sz w:val="19"/>
              </w:rPr>
              <w:t>Décret 2023-696, réforme appliquée en totalité en 2024. Difficultés de trésorerie des cliniques ex-OQN, 700 M€ liquidés fin septembre 2024 pour les premiers mois, tarifs +1 % pour le secteur privé.</w:t>
            </w:r>
          </w:p>
        </w:tc>
      </w:tr>
      <w:tr>
        <w:tc>
          <w:tcPr>
            <w:tcW w:type="dxa" w:w="3402"/>
          </w:tcPr>
          <w:p>
            <w:pPr>
              <w:spacing w:after="20"/>
            </w:pPr>
            <w:r/>
            <w:r>
              <w:rPr>
                <w:sz w:val="19"/>
              </w:rPr>
              <w:t>DREES, Les dépenses de santé en 2024, édition 2025, fiche 02 « Les soins hospitaliers »</w:t>
            </w:r>
          </w:p>
        </w:tc>
        <w:tc>
          <w:tcPr>
            <w:tcW w:type="dxa" w:w="6236"/>
          </w:tcPr>
          <w:p>
            <w:pPr>
              <w:spacing w:after="20"/>
            </w:pPr>
            <w:r/>
            <w:r>
              <w:rPr>
                <w:sz w:val="19"/>
              </w:rPr>
              <w:t>Cliniques : 27,1 Md€ (+4,1 %), honoraires des praticiens 6,6 Md€ (+4,5 %), rééducation +1,0 %, médecine-chirurgie +3,2 %. Financement du privé : Sécurité sociale 87,9 % (−0,6 point), complémentaires 5,1 %, ménages 6,7 %. Doublement des franchises et participations forfaitaires en 2024.</w:t>
            </w:r>
          </w:p>
        </w:tc>
      </w:tr>
      <w:tr>
        <w:tc>
          <w:tcPr>
            <w:tcW w:type="dxa" w:w="3402"/>
          </w:tcPr>
          <w:p>
            <w:pPr>
              <w:spacing w:after="20"/>
            </w:pPr>
            <w:r/>
            <w:r>
              <w:rPr>
                <w:sz w:val="19"/>
              </w:rPr>
              <w:t>Documentation du SNDS, fiche « Dépenses des hôpitaux publics et ESPIC » (documentation-snds.health-data-hub.fr)</w:t>
            </w:r>
          </w:p>
        </w:tc>
        <w:tc>
          <w:tcPr>
            <w:tcW w:type="dxa" w:w="6236"/>
          </w:tcPr>
          <w:p>
            <w:pPr>
              <w:spacing w:after="20"/>
            </w:pPr>
            <w:r/>
            <w:r>
              <w:rPr>
                <w:sz w:val="19"/>
              </w:rPr>
              <w:t>Les séjours des hôpitaux publics ne sont pas dans les remboursements individuels (DCIR, donc Open DAMIR) : seuls les actes et consultations externes y figurent, le reste est dans le PMSI.</w:t>
            </w:r>
          </w:p>
        </w:tc>
      </w:tr>
    </w:tbl>
    <w:p>
      <w:pPr>
        <w:spacing w:after="40"/>
      </w:pPr>
    </w:p>
    <w:p>
      <w:r>
        <w:rPr>
          <w:b/>
        </w:rPr>
        <w:t xml:space="preserve">Détail. </w:t>
      </w:r>
      <w:r>
        <w:t>Documents de travail : docs/ETUDE_HOSPITALISATION_PAR_POSTE.md et docs/ETUDE_HOSPITALISATION_2022_2025.md dans le dépôt Outil_DAMIR (méthode, tableaux complets, redressement de 2025).</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