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A5D43" w14:textId="2BFBF8B9" w:rsidR="00A16B64" w:rsidRDefault="002E3157" w:rsidP="00A16B64">
      <w:pPr>
        <w:pStyle w:val="Heading1"/>
      </w:pPr>
      <w:r>
        <w:t xml:space="preserve">Creating </w:t>
      </w:r>
      <w:r w:rsidR="00AE5CD0">
        <w:t xml:space="preserve">2D and </w:t>
      </w:r>
      <w:r>
        <w:t>3D Scenarios</w:t>
      </w:r>
    </w:p>
    <w:p w14:paraId="30F0C7D1" w14:textId="17DCDFC5" w:rsidR="00350011" w:rsidRPr="00350011" w:rsidRDefault="00350011" w:rsidP="00350011">
      <w:r>
        <w:t xml:space="preserve">Last modified: July </w:t>
      </w:r>
      <w:r w:rsidR="002E3157">
        <w:t>29</w:t>
      </w:r>
      <w:r>
        <w:t>, 2020</w:t>
      </w:r>
    </w:p>
    <w:p w14:paraId="3953B4FD" w14:textId="46B5DAFA" w:rsidR="00E167B5" w:rsidRDefault="00E167B5" w:rsidP="00E167B5">
      <w:pPr>
        <w:pStyle w:val="Heading2"/>
      </w:pPr>
      <w:r>
        <w:t>Python Script</w:t>
      </w:r>
      <w:r w:rsidR="00E152DB">
        <w:t>s</w:t>
      </w:r>
    </w:p>
    <w:p w14:paraId="0EA08CE5" w14:textId="23C5F2A7" w:rsidR="004D2C56" w:rsidRDefault="00FD0C7E" w:rsidP="00E167B5">
      <w:r>
        <w:t>The script</w:t>
      </w:r>
      <w:r w:rsidR="008616B0">
        <w:t xml:space="preserve"> (“convert.py”)</w:t>
      </w:r>
      <w:r>
        <w:t xml:space="preserve"> is capable of creating</w:t>
      </w:r>
      <w:r w:rsidR="00115423">
        <w:t xml:space="preserve"> 3D scenarios from 2D scenarios,</w:t>
      </w:r>
      <w:r>
        <w:t xml:space="preserve"> </w:t>
      </w:r>
      <w:r w:rsidR="00115423">
        <w:t>2D scenarios from image files, and 3D scenarios from image files.</w:t>
      </w:r>
      <w:r w:rsidR="00995680">
        <w:t xml:space="preserve"> Which functionality is used depends on the input file. If the</w:t>
      </w:r>
      <w:r w:rsidR="00F16601">
        <w:t xml:space="preserve"> file extension is “bmp”, “jpg”, “jpeg”, or “png”, the script will attempt to convert the image to a 3D scenario. If the file </w:t>
      </w:r>
      <w:r w:rsidR="004D2C56">
        <w:t>extension is “json”</w:t>
      </w:r>
      <w:r w:rsidR="00F16601">
        <w:t>, the script will attempt to convert the 2D scenario to a 3D scenario.</w:t>
      </w:r>
      <w:r w:rsidR="004D2C56">
        <w:t xml:space="preserve"> </w:t>
      </w:r>
      <w:r w:rsidR="009C0027">
        <w:t>If the input file’s extension is not any of the aforementioned options, the script will be unable to run.</w:t>
      </w:r>
    </w:p>
    <w:p w14:paraId="2BC7BD2F" w14:textId="368FA3EF" w:rsidR="00F077CB" w:rsidRDefault="00736540" w:rsidP="00FE4771">
      <w:r>
        <w:t>If dimensions are provided as a command line argument (see the section on usage), the script internally convert</w:t>
      </w:r>
      <w:r w:rsidR="00F00CE9">
        <w:t>s</w:t>
      </w:r>
      <w:r>
        <w:t xml:space="preserve"> the given image into a 2D scenario. It will then scale the scenario down to match the requested dimensions.</w:t>
      </w:r>
      <w:r w:rsidR="00BB7769">
        <w:t xml:space="preserve"> (</w:t>
      </w:r>
      <w:r w:rsidR="00BB7769">
        <w:t>Note that the scaling process is inexact.</w:t>
      </w:r>
      <w:r w:rsidR="00BB7769">
        <w:t>)</w:t>
      </w:r>
      <w:r>
        <w:t xml:space="preserve"> The script will then either </w:t>
      </w:r>
      <w:r w:rsidR="00A13285">
        <w:t>output</w:t>
      </w:r>
      <w:r w:rsidR="00C91149">
        <w:t xml:space="preserve"> the</w:t>
      </w:r>
      <w:r>
        <w:t xml:space="preserve"> 2D</w:t>
      </w:r>
      <w:r w:rsidR="00C91149">
        <w:t xml:space="preserve"> scenario</w:t>
      </w:r>
      <w:r>
        <w:t xml:space="preserve"> or</w:t>
      </w:r>
      <w:r w:rsidR="00C91149">
        <w:t xml:space="preserve"> convert it into a</w:t>
      </w:r>
      <w:r>
        <w:t xml:space="preserve"> 3D scenario</w:t>
      </w:r>
      <w:r w:rsidR="00A104DF">
        <w:t xml:space="preserve"> (then output the result)</w:t>
      </w:r>
      <w:r>
        <w:t>.</w:t>
      </w:r>
      <w:r w:rsidR="00627657">
        <w:t xml:space="preserve"> </w:t>
      </w:r>
      <w:r w:rsidR="008525E6">
        <w:t xml:space="preserve">The script is not capable of scaling a scenario up and will terminate if asked to do so </w:t>
      </w:r>
      <w:r w:rsidR="002D7D59">
        <w:t>with</w:t>
      </w:r>
      <w:r w:rsidR="008525E6">
        <w:t xml:space="preserve"> </w:t>
      </w:r>
      <w:r w:rsidR="001F4085">
        <w:t>one</w:t>
      </w:r>
      <w:r w:rsidR="008525E6">
        <w:t xml:space="preserve"> or both dimensions.</w:t>
      </w:r>
    </w:p>
    <w:p w14:paraId="572EF0E4" w14:textId="63E6215A" w:rsidR="00E246B6" w:rsidRPr="00E246B6" w:rsidRDefault="00E246B6" w:rsidP="00FE4771">
      <w:r>
        <w:t xml:space="preserve">Setting the </w:t>
      </w:r>
      <w:r>
        <w:rPr>
          <w:i/>
          <w:iCs/>
        </w:rPr>
        <w:t>height</w:t>
      </w:r>
      <w:r>
        <w:t xml:space="preserve"> value in the configuration file to 1 will </w:t>
      </w:r>
      <w:r w:rsidR="00E0190A">
        <w:t>cause</w:t>
      </w:r>
      <w:r>
        <w:t xml:space="preserve"> the script</w:t>
      </w:r>
      <w:r w:rsidR="00E0190A">
        <w:t xml:space="preserve"> to</w:t>
      </w:r>
      <w:r>
        <w:t xml:space="preserve"> produc</w:t>
      </w:r>
      <w:r w:rsidR="00E0190A">
        <w:t>e</w:t>
      </w:r>
      <w:r>
        <w:t xml:space="preserve"> a 2D scenario.</w:t>
      </w:r>
    </w:p>
    <w:p w14:paraId="2D45E282" w14:textId="7678BB27" w:rsidR="00FD0C7E" w:rsidRDefault="00FD0C7E" w:rsidP="00FD0C7E">
      <w:pPr>
        <w:pStyle w:val="Heading3"/>
      </w:pPr>
      <w:r>
        <w:t>Configuration</w:t>
      </w:r>
    </w:p>
    <w:p w14:paraId="2360598A" w14:textId="7AC1CCBD" w:rsidR="00220DA1" w:rsidRDefault="00220DA1" w:rsidP="00220DA1">
      <w:r>
        <w:t>The configuration file contains three sections: files, model, and image.</w:t>
      </w:r>
    </w:p>
    <w:p w14:paraId="62EB8847" w14:textId="22F6357C" w:rsidR="00220DA1" w:rsidRDefault="00220DA1" w:rsidP="00220DA1">
      <w:r>
        <w:t xml:space="preserve">The </w:t>
      </w:r>
      <w:r w:rsidRPr="00220DA1">
        <w:rPr>
          <w:i/>
          <w:iCs/>
        </w:rPr>
        <w:t>files</w:t>
      </w:r>
      <w:r>
        <w:t xml:space="preserve"> section determines where the input </w:t>
      </w:r>
      <w:r w:rsidR="000D640B">
        <w:t>scenario/</w:t>
      </w:r>
      <w:r>
        <w:t>image is located and where the resulting JSON will be saved.</w:t>
      </w:r>
    </w:p>
    <w:p w14:paraId="0028C749" w14:textId="04126DA2" w:rsidR="0016498C" w:rsidRDefault="00220DA1" w:rsidP="00220DA1">
      <w:pPr>
        <w:rPr>
          <w:rFonts w:eastAsiaTheme="minorEastAsia"/>
        </w:rPr>
      </w:pPr>
      <w:r>
        <w:t xml:space="preserve">The </w:t>
      </w:r>
      <w:r w:rsidRPr="00220DA1">
        <w:rPr>
          <w:i/>
          <w:iCs/>
        </w:rPr>
        <w:t>model</w:t>
      </w:r>
      <w:r>
        <w:t xml:space="preserve"> section provides details about how the model will be constructed. Importantly, much of the information in this section pertains to how the model will be converted from 2D to 3D. The </w:t>
      </w:r>
      <w:r>
        <w:rPr>
          <w:i/>
          <w:iCs/>
        </w:rPr>
        <w:t>height</w:t>
      </w:r>
      <w:r>
        <w:t xml:space="preserve"> parameter sets how many cells tall the </w:t>
      </w:r>
      <w:r w:rsidR="005036F6">
        <w:t xml:space="preserve">model will be. A height of 14 means that the model will be 14 cells tall. Since each cell is </w:t>
      </w:r>
      <m:oMath>
        <m:r>
          <w:rPr>
            <w:rFonts w:ascii="Cambria Math" w:hAnsi="Cambria Math"/>
          </w:rPr>
          <m:t>25cm×25cm×25cm</m:t>
        </m:r>
      </m:oMath>
      <w:r w:rsidR="005036F6">
        <w:rPr>
          <w:rFonts w:eastAsiaTheme="minorEastAsia"/>
        </w:rPr>
        <w:t>, this corresponds to a total height of 3.5 metres. However, the room itself will be 12 cells (3 metres) tall as the floor and ceiling are included in the height value.</w:t>
      </w:r>
      <w:r w:rsidR="00792C02">
        <w:rPr>
          <w:rFonts w:eastAsiaTheme="minorEastAsia"/>
        </w:rPr>
        <w:t xml:space="preserve"> </w:t>
      </w:r>
      <w:r w:rsidR="00792C02" w:rsidRPr="00E246B6">
        <w:rPr>
          <w:rFonts w:eastAsiaTheme="minorEastAsia"/>
        </w:rPr>
        <w:t>Setting this value to be 1 will cause the script to produce a 2D model.</w:t>
      </w:r>
      <w:r w:rsidR="0018409A">
        <w:rPr>
          <w:rFonts w:eastAsiaTheme="minorEastAsia"/>
        </w:rPr>
        <w:t xml:space="preserve"> The </w:t>
      </w:r>
      <w:r w:rsidR="0018409A">
        <w:rPr>
          <w:rFonts w:eastAsiaTheme="minorEastAsia"/>
          <w:i/>
          <w:iCs/>
        </w:rPr>
        <w:t>walls_only</w:t>
      </w:r>
      <w:r w:rsidR="0018409A">
        <w:rPr>
          <w:rFonts w:eastAsiaTheme="minorEastAsia"/>
        </w:rPr>
        <w:t xml:space="preserve"> value, if set to true, will ignore all elements that are not of type -300 (IMPERMEABLE_STRUCTURE). Typically, this </w:t>
      </w:r>
      <w:r w:rsidR="00C96586">
        <w:rPr>
          <w:rFonts w:eastAsiaTheme="minorEastAsia"/>
        </w:rPr>
        <w:t xml:space="preserve">value </w:t>
      </w:r>
      <w:r w:rsidR="0018409A">
        <w:rPr>
          <w:rFonts w:eastAsiaTheme="minorEastAsia"/>
        </w:rPr>
        <w:t xml:space="preserve">should be false. The </w:t>
      </w:r>
      <w:r w:rsidR="0018409A">
        <w:rPr>
          <w:rFonts w:eastAsiaTheme="minorEastAsia"/>
          <w:i/>
          <w:iCs/>
        </w:rPr>
        <w:t>heights</w:t>
      </w:r>
      <w:r w:rsidR="0018409A">
        <w:rPr>
          <w:rFonts w:eastAsiaTheme="minorEastAsia"/>
        </w:rPr>
        <w:t xml:space="preserve"> object sets where the specified elements will be placed on the new axis. For example, </w:t>
      </w:r>
      <w:r w:rsidR="0018409A">
        <w:rPr>
          <w:rFonts w:eastAsiaTheme="minorEastAsia"/>
          <w:i/>
          <w:iCs/>
        </w:rPr>
        <w:t>door_top</w:t>
      </w:r>
      <w:r w:rsidR="0018409A">
        <w:rPr>
          <w:rFonts w:eastAsiaTheme="minorEastAsia"/>
        </w:rPr>
        <w:t xml:space="preserve"> sets highest cell that the door will extend to. Note that the highest possible value for these parameters is </w:t>
      </w:r>
      <m:oMath>
        <m:r>
          <w:rPr>
            <w:rFonts w:ascii="Cambria Math" w:eastAsiaTheme="minorEastAsia" w:hAnsi="Cambria Math"/>
          </w:rPr>
          <m:t>height-1</m:t>
        </m:r>
      </m:oMath>
      <w:r w:rsidR="0018409A">
        <w:rPr>
          <w:rFonts w:eastAsiaTheme="minorEastAsia"/>
        </w:rPr>
        <w:t xml:space="preserve"> since the first layer is at </w:t>
      </w:r>
      <m:oMath>
        <m:r>
          <w:rPr>
            <w:rFonts w:ascii="Cambria Math" w:eastAsiaTheme="minorEastAsia" w:hAnsi="Cambria Math"/>
          </w:rPr>
          <m:t>z=0</m:t>
        </m:r>
      </m:oMath>
      <w:r w:rsidR="0018409A">
        <w:rPr>
          <w:rFonts w:eastAsiaTheme="minorEastAsia"/>
        </w:rPr>
        <w:t>.</w:t>
      </w:r>
    </w:p>
    <w:p w14:paraId="4EB09D32" w14:textId="57BB53F6" w:rsidR="007575E3" w:rsidRPr="0018409A" w:rsidRDefault="0016498C" w:rsidP="00220DA1">
      <w:r>
        <w:rPr>
          <w:rFonts w:eastAsiaTheme="minorEastAsia"/>
        </w:rPr>
        <w:t xml:space="preserve">Within the </w:t>
      </w:r>
      <w:r>
        <w:rPr>
          <w:rFonts w:eastAsiaTheme="minorEastAsia"/>
          <w:i/>
          <w:iCs/>
        </w:rPr>
        <w:t>model</w:t>
      </w:r>
      <w:r>
        <w:rPr>
          <w:rFonts w:eastAsiaTheme="minorEastAsia"/>
        </w:rPr>
        <w:t xml:space="preserve"> section, there is a subsection called </w:t>
      </w:r>
      <w:r>
        <w:rPr>
          <w:rFonts w:eastAsiaTheme="minorEastAsia"/>
          <w:i/>
          <w:iCs/>
        </w:rPr>
        <w:t>counter</w:t>
      </w:r>
      <w:r>
        <w:rPr>
          <w:rFonts w:eastAsiaTheme="minorEastAsia"/>
        </w:rPr>
        <w:t xml:space="preserve">. This area determines the </w:t>
      </w:r>
      <w:r>
        <w:rPr>
          <w:rFonts w:eastAsiaTheme="minorEastAsia"/>
          <w:i/>
          <w:iCs/>
        </w:rPr>
        <w:t>counter</w:t>
      </w:r>
      <w:r>
        <w:rPr>
          <w:rFonts w:eastAsiaTheme="minorEastAsia"/>
        </w:rPr>
        <w:t xml:space="preserve"> value of each WORKSTATION (type -700) cell. The</w:t>
      </w:r>
      <w:r w:rsidRPr="00C702F9">
        <w:rPr>
          <w:rFonts w:eastAsiaTheme="minorEastAsia"/>
        </w:rPr>
        <w:t xml:space="preserve"> counter</w:t>
      </w:r>
      <w:r w:rsidRPr="00C702F9">
        <w:rPr>
          <w:rFonts w:eastAsiaTheme="minorEastAsia"/>
        </w:rPr>
        <w:softHyphen/>
        <w:t xml:space="preserve"> </w:t>
      </w:r>
      <w:r>
        <w:rPr>
          <w:rFonts w:eastAsiaTheme="minorEastAsia"/>
        </w:rPr>
        <w:t>attribute of a cell determines when a WORKSTATION cell will become a CO2_SOURCE (type -200).</w:t>
      </w:r>
      <w:r w:rsidR="00121CFC">
        <w:rPr>
          <w:rFonts w:eastAsiaTheme="minorEastAsia"/>
        </w:rPr>
        <w:t xml:space="preserve"> The </w:t>
      </w:r>
      <w:r w:rsidR="00121CFC">
        <w:rPr>
          <w:rFonts w:eastAsiaTheme="minorEastAsia"/>
          <w:i/>
          <w:iCs/>
        </w:rPr>
        <w:t>seed</w:t>
      </w:r>
      <w:r w:rsidR="00121CFC">
        <w:rPr>
          <w:rFonts w:eastAsiaTheme="minorEastAsia"/>
        </w:rPr>
        <w:t xml:space="preserve"> value is the seed for the random number generator</w:t>
      </w:r>
      <w:r w:rsidR="00996612">
        <w:rPr>
          <w:rFonts w:eastAsiaTheme="minorEastAsia"/>
        </w:rPr>
        <w:t xml:space="preserve"> which is used to set each cell’s counter value</w:t>
      </w:r>
      <w:r w:rsidR="00121CFC">
        <w:rPr>
          <w:rFonts w:eastAsiaTheme="minorEastAsia"/>
        </w:rPr>
        <w:t xml:space="preserve">. The </w:t>
      </w:r>
      <w:r w:rsidR="00121CFC">
        <w:rPr>
          <w:rFonts w:eastAsiaTheme="minorEastAsia"/>
          <w:i/>
          <w:iCs/>
        </w:rPr>
        <w:t>minimum</w:t>
      </w:r>
      <w:r w:rsidR="00121CFC">
        <w:rPr>
          <w:rFonts w:eastAsiaTheme="minorEastAsia"/>
        </w:rPr>
        <w:t xml:space="preserve"> and </w:t>
      </w:r>
      <w:r w:rsidR="00121CFC">
        <w:rPr>
          <w:rFonts w:eastAsiaTheme="minorEastAsia"/>
          <w:i/>
          <w:iCs/>
        </w:rPr>
        <w:t>maximum</w:t>
      </w:r>
      <w:r w:rsidR="00121CFC">
        <w:rPr>
          <w:rFonts w:eastAsiaTheme="minorEastAsia"/>
        </w:rPr>
        <w:t xml:space="preserve"> </w:t>
      </w:r>
      <w:r w:rsidR="00342AE9">
        <w:rPr>
          <w:rFonts w:eastAsiaTheme="minorEastAsia"/>
        </w:rPr>
        <w:t>fields</w:t>
      </w:r>
      <w:r w:rsidR="00121CFC">
        <w:rPr>
          <w:rFonts w:eastAsiaTheme="minorEastAsia"/>
        </w:rPr>
        <w:t xml:space="preserve"> </w:t>
      </w:r>
      <w:r w:rsidR="00E3385A">
        <w:rPr>
          <w:rFonts w:eastAsiaTheme="minorEastAsia"/>
        </w:rPr>
        <w:t>specify</w:t>
      </w:r>
      <w:r w:rsidR="00121CFC">
        <w:rPr>
          <w:rFonts w:eastAsiaTheme="minorEastAsia"/>
        </w:rPr>
        <w:t xml:space="preserve"> the minimum and the maximum possible value</w:t>
      </w:r>
      <w:r w:rsidR="00B02E50">
        <w:rPr>
          <w:rFonts w:eastAsiaTheme="minorEastAsia"/>
        </w:rPr>
        <w:t>s</w:t>
      </w:r>
      <w:r w:rsidR="00121CFC">
        <w:rPr>
          <w:rFonts w:eastAsiaTheme="minorEastAsia"/>
        </w:rPr>
        <w:t xml:space="preserve"> </w:t>
      </w:r>
      <w:r w:rsidR="008E0E68">
        <w:rPr>
          <w:rFonts w:eastAsiaTheme="minorEastAsia"/>
        </w:rPr>
        <w:t xml:space="preserve">for the </w:t>
      </w:r>
      <w:r w:rsidR="008E0E68" w:rsidRPr="006A2773">
        <w:rPr>
          <w:rFonts w:eastAsiaTheme="minorEastAsia"/>
        </w:rPr>
        <w:t>counter</w:t>
      </w:r>
      <w:r w:rsidR="008E0E68">
        <w:rPr>
          <w:rFonts w:eastAsiaTheme="minorEastAsia"/>
        </w:rPr>
        <w:t xml:space="preserve"> value</w:t>
      </w:r>
      <w:r w:rsidR="001A20A3">
        <w:rPr>
          <w:rFonts w:eastAsiaTheme="minorEastAsia"/>
        </w:rPr>
        <w:t xml:space="preserve"> (both inclusive)</w:t>
      </w:r>
      <w:r w:rsidR="00121CFC">
        <w:rPr>
          <w:rFonts w:eastAsiaTheme="minorEastAsia"/>
        </w:rPr>
        <w:t>, respectively.</w:t>
      </w:r>
    </w:p>
    <w:p w14:paraId="6DF0AFA6" w14:textId="28C65D15" w:rsidR="00B732B5" w:rsidRDefault="00DE3756" w:rsidP="00E167B5">
      <w:r>
        <w:t>The</w:t>
      </w:r>
      <w:r w:rsidR="00844BF2">
        <w:t xml:space="preserve"> </w:t>
      </w:r>
      <w:r w:rsidR="00844BF2">
        <w:rPr>
          <w:i/>
          <w:iCs/>
        </w:rPr>
        <w:t>image</w:t>
      </w:r>
      <w:r w:rsidR="00844BF2">
        <w:t xml:space="preserve"> section in the</w:t>
      </w:r>
      <w:r>
        <w:t xml:space="preserve"> configuration file contains information on how the script will convert different colours</w:t>
      </w:r>
      <w:r w:rsidR="001574AE">
        <w:t>, the colour</w:t>
      </w:r>
      <w:r>
        <w:t xml:space="preserve"> tolerance (how different a pixel in the image may be from a solid colour)</w:t>
      </w:r>
      <w:r w:rsidR="001574AE">
        <w:t>, and the alpha tolerance (how transparent a pixel can be before being turned into an AIR cell).</w:t>
      </w:r>
    </w:p>
    <w:p w14:paraId="2BF5CC79" w14:textId="02D86128" w:rsidR="00B732B5" w:rsidRDefault="00B732B5" w:rsidP="00E167B5">
      <w:r>
        <w:t xml:space="preserve">The colour tolerance is used </w:t>
      </w:r>
      <w:r w:rsidR="00843864">
        <w:t>to</w:t>
      </w:r>
      <w:r>
        <w:t xml:space="preserve"> ensur</w:t>
      </w:r>
      <w:r w:rsidR="00843864">
        <w:t>e</w:t>
      </w:r>
      <w:r>
        <w:t xml:space="preserve"> that each component of each pixel’s RGB value is within the tolerance value of either 0 or 255. If the value is within the tolerance, the script will modify the pixel to </w:t>
      </w:r>
      <w:r>
        <w:lastRenderedPageBreak/>
        <w:t>be a minimum or maximum value (0 or 255). If the value falls outside of this tolerance, the script will attempt to resolve the issue by rounding the colour component to the closest of 0 and 255</w:t>
      </w:r>
      <w:r w:rsidR="00483994">
        <w:t xml:space="preserve"> and will display a message</w:t>
      </w:r>
      <w:r w:rsidR="00245AD9">
        <w:t xml:space="preserve"> indicating</w:t>
      </w:r>
      <w:r w:rsidR="00FB58F3">
        <w:t xml:space="preserve"> that</w:t>
      </w:r>
      <w:r w:rsidR="00245AD9">
        <w:t xml:space="preserve"> this occurred</w:t>
      </w:r>
      <w:r w:rsidR="00483994">
        <w:t xml:space="preserve"> (if the “img-msg” flag is set)</w:t>
      </w:r>
      <w:r>
        <w:t>.</w:t>
      </w:r>
      <w:r w:rsidR="00334E55">
        <w:t xml:space="preserve"> A higher colour tolerance allows for more variation from the colour scheme but may cause inadvertent cell</w:t>
      </w:r>
      <w:r w:rsidR="00FF0B4D">
        <w:t xml:space="preserve"> types</w:t>
      </w:r>
      <w:r w:rsidR="00334E55">
        <w:t xml:space="preserve"> to be</w:t>
      </w:r>
      <w:r w:rsidR="00FF0B4D">
        <w:t xml:space="preserve"> set</w:t>
      </w:r>
      <w:r w:rsidR="00334E55">
        <w:t>.</w:t>
      </w:r>
    </w:p>
    <w:p w14:paraId="36F590D8" w14:textId="772F9B58" w:rsidR="00843864" w:rsidRDefault="00843864" w:rsidP="00E167B5">
      <w:r>
        <w:t xml:space="preserve">The alpha tolerance is used </w:t>
      </w:r>
      <w:r w:rsidR="00D2742E">
        <w:t>to ensure that each pixel is opaque enough to be assigned a cell value based on its colour. If a cells alpha value falls below the alpha tolerance level, the cell will be considered an AIR cell, regardless of its colour.</w:t>
      </w:r>
      <w:r w:rsidR="00334E55">
        <w:t xml:space="preserve"> A higher alpha tolerance means that a cell is required to be </w:t>
      </w:r>
      <w:proofErr w:type="gramStart"/>
      <w:r w:rsidR="00334E55">
        <w:t>more opaque</w:t>
      </w:r>
      <w:proofErr w:type="gramEnd"/>
      <w:r w:rsidR="00334E55">
        <w:t xml:space="preserve"> to have its colour considered.</w:t>
      </w:r>
      <w:r w:rsidR="00002C22">
        <w:t xml:space="preserve"> </w:t>
      </w:r>
      <w:r w:rsidR="00071C49">
        <w:t>Alternatively</w:t>
      </w:r>
      <w:r w:rsidR="00002C22">
        <w:t xml:space="preserve">, </w:t>
      </w:r>
      <w:r w:rsidR="00071C49">
        <w:t xml:space="preserve">a lower alpha tolerance means that a cell can be more transparent and still be assigned a cell type </w:t>
      </w:r>
      <w:r w:rsidR="009E448D">
        <w:t>b</w:t>
      </w:r>
      <w:r w:rsidR="00071C49">
        <w:t>ased on its colour</w:t>
      </w:r>
      <w:r w:rsidR="00002C22">
        <w:t>.</w:t>
      </w:r>
    </w:p>
    <w:p w14:paraId="7A35144C" w14:textId="458F77DA" w:rsidR="00C72BB4" w:rsidRDefault="00DE3756" w:rsidP="00E167B5">
      <w:r>
        <w:t>The current default</w:t>
      </w:r>
      <w:r w:rsidR="001574AE">
        <w:t xml:space="preserve"> colours</w:t>
      </w:r>
      <w:r>
        <w:t xml:space="preserve"> </w:t>
      </w:r>
      <w:r w:rsidR="001574AE">
        <w:t>are</w:t>
      </w:r>
      <w:r>
        <w:t xml:space="preserve"> as follows:</w:t>
      </w:r>
    </w:p>
    <w:tbl>
      <w:tblPr>
        <w:tblStyle w:val="TableGrid"/>
        <w:tblW w:w="0" w:type="auto"/>
        <w:tblLook w:val="04A0" w:firstRow="1" w:lastRow="0" w:firstColumn="1" w:lastColumn="0" w:noHBand="0" w:noVBand="1"/>
      </w:tblPr>
      <w:tblGrid>
        <w:gridCol w:w="2192"/>
        <w:gridCol w:w="2285"/>
        <w:gridCol w:w="2965"/>
        <w:gridCol w:w="1908"/>
      </w:tblGrid>
      <w:tr w:rsidR="00FD0C7E" w14:paraId="543A9A38" w14:textId="7A78288B" w:rsidTr="00FD0C7E">
        <w:tc>
          <w:tcPr>
            <w:tcW w:w="2192" w:type="dxa"/>
            <w:shd w:val="clear" w:color="auto" w:fill="D9D9D9" w:themeFill="background1" w:themeFillShade="D9"/>
          </w:tcPr>
          <w:p w14:paraId="553148C8" w14:textId="2D983BF3" w:rsidR="00FD0C7E" w:rsidRDefault="00FD0C7E" w:rsidP="00E167B5">
            <w:r>
              <w:t>Colour</w:t>
            </w:r>
          </w:p>
        </w:tc>
        <w:tc>
          <w:tcPr>
            <w:tcW w:w="2285" w:type="dxa"/>
            <w:shd w:val="clear" w:color="auto" w:fill="D9D9D9" w:themeFill="background1" w:themeFillShade="D9"/>
          </w:tcPr>
          <w:p w14:paraId="4193F670" w14:textId="120C51DB" w:rsidR="00FD0C7E" w:rsidRDefault="00FD0C7E" w:rsidP="00E167B5">
            <w:r>
              <w:t>String</w:t>
            </w:r>
          </w:p>
        </w:tc>
        <w:tc>
          <w:tcPr>
            <w:tcW w:w="2965" w:type="dxa"/>
            <w:shd w:val="clear" w:color="auto" w:fill="D9D9D9" w:themeFill="background1" w:themeFillShade="D9"/>
          </w:tcPr>
          <w:p w14:paraId="5EC204AF" w14:textId="4BACDC80" w:rsidR="00FD0C7E" w:rsidRDefault="00FD0C7E" w:rsidP="00E167B5">
            <w:r>
              <w:t>Cell Type</w:t>
            </w:r>
          </w:p>
        </w:tc>
        <w:tc>
          <w:tcPr>
            <w:tcW w:w="1908" w:type="dxa"/>
            <w:shd w:val="clear" w:color="auto" w:fill="D9D9D9" w:themeFill="background1" w:themeFillShade="D9"/>
          </w:tcPr>
          <w:p w14:paraId="6EB86131" w14:textId="3985F208" w:rsidR="00FD0C7E" w:rsidRDefault="00FD0C7E" w:rsidP="00E167B5">
            <w:r>
              <w:t>Type Number</w:t>
            </w:r>
          </w:p>
        </w:tc>
      </w:tr>
      <w:tr w:rsidR="00FD0C7E" w14:paraId="054D5392" w14:textId="32758904" w:rsidTr="00FD0C7E">
        <w:tc>
          <w:tcPr>
            <w:tcW w:w="2192" w:type="dxa"/>
          </w:tcPr>
          <w:p w14:paraId="673B3EB7" w14:textId="4DEB84D1" w:rsidR="00FD0C7E" w:rsidRDefault="00FD0C7E" w:rsidP="00E167B5">
            <w:r>
              <w:t>white</w:t>
            </w:r>
          </w:p>
        </w:tc>
        <w:tc>
          <w:tcPr>
            <w:tcW w:w="2285" w:type="dxa"/>
          </w:tcPr>
          <w:p w14:paraId="1E003520" w14:textId="6D7CE371" w:rsidR="00FD0C7E" w:rsidRDefault="00FD0C7E" w:rsidP="00E167B5">
            <w:r>
              <w:t>255,255,255</w:t>
            </w:r>
          </w:p>
        </w:tc>
        <w:tc>
          <w:tcPr>
            <w:tcW w:w="2965" w:type="dxa"/>
          </w:tcPr>
          <w:p w14:paraId="66E1F3A8" w14:textId="0A468142" w:rsidR="00FD0C7E" w:rsidRDefault="00FD0C7E" w:rsidP="00E167B5">
            <w:r>
              <w:t>AIR</w:t>
            </w:r>
          </w:p>
        </w:tc>
        <w:tc>
          <w:tcPr>
            <w:tcW w:w="1908" w:type="dxa"/>
          </w:tcPr>
          <w:p w14:paraId="62162DCD" w14:textId="59E80546" w:rsidR="00FD0C7E" w:rsidRDefault="00FD0C7E" w:rsidP="00E167B5">
            <w:r>
              <w:t>-100</w:t>
            </w:r>
          </w:p>
        </w:tc>
      </w:tr>
      <w:tr w:rsidR="00FD0C7E" w14:paraId="72FAC85E" w14:textId="07E7F907" w:rsidTr="00FD0C7E">
        <w:tc>
          <w:tcPr>
            <w:tcW w:w="2192" w:type="dxa"/>
          </w:tcPr>
          <w:p w14:paraId="028BABDC" w14:textId="306055B5" w:rsidR="00FD0C7E" w:rsidRDefault="00FD0C7E" w:rsidP="00E167B5">
            <w:r>
              <w:t>cyan</w:t>
            </w:r>
          </w:p>
        </w:tc>
        <w:tc>
          <w:tcPr>
            <w:tcW w:w="2285" w:type="dxa"/>
          </w:tcPr>
          <w:p w14:paraId="4965590F" w14:textId="548FBB30" w:rsidR="00FD0C7E" w:rsidRDefault="00FD0C7E" w:rsidP="00E167B5">
            <w:r>
              <w:t>0,255,255</w:t>
            </w:r>
          </w:p>
        </w:tc>
        <w:tc>
          <w:tcPr>
            <w:tcW w:w="2965" w:type="dxa"/>
          </w:tcPr>
          <w:p w14:paraId="434CC3A7" w14:textId="18F3BB4E" w:rsidR="00FD0C7E" w:rsidRDefault="00FD0C7E" w:rsidP="00E167B5">
            <w:r>
              <w:t>CO2_SOURCE</w:t>
            </w:r>
          </w:p>
        </w:tc>
        <w:tc>
          <w:tcPr>
            <w:tcW w:w="1908" w:type="dxa"/>
          </w:tcPr>
          <w:p w14:paraId="69493611" w14:textId="3470454D" w:rsidR="00FD0C7E" w:rsidRDefault="00FD0C7E" w:rsidP="00E167B5">
            <w:r>
              <w:t>-200</w:t>
            </w:r>
          </w:p>
        </w:tc>
      </w:tr>
      <w:tr w:rsidR="00FD0C7E" w14:paraId="711F9AEF" w14:textId="38AC10AE" w:rsidTr="00FD0C7E">
        <w:tc>
          <w:tcPr>
            <w:tcW w:w="2192" w:type="dxa"/>
          </w:tcPr>
          <w:p w14:paraId="19E5A1CE" w14:textId="4FF063A2" w:rsidR="00FD0C7E" w:rsidRDefault="00FD0C7E" w:rsidP="00E167B5">
            <w:r>
              <w:t>black</w:t>
            </w:r>
          </w:p>
        </w:tc>
        <w:tc>
          <w:tcPr>
            <w:tcW w:w="2285" w:type="dxa"/>
          </w:tcPr>
          <w:p w14:paraId="05449912" w14:textId="29B80B10" w:rsidR="00FD0C7E" w:rsidRDefault="00FD0C7E" w:rsidP="00E167B5">
            <w:r>
              <w:t>0,0,0</w:t>
            </w:r>
          </w:p>
        </w:tc>
        <w:tc>
          <w:tcPr>
            <w:tcW w:w="2965" w:type="dxa"/>
          </w:tcPr>
          <w:p w14:paraId="197D25CB" w14:textId="61539B0F" w:rsidR="00FD0C7E" w:rsidRDefault="00FD0C7E" w:rsidP="00E167B5">
            <w:r>
              <w:t>IMPERMEABLE_STRUCTURE</w:t>
            </w:r>
          </w:p>
        </w:tc>
        <w:tc>
          <w:tcPr>
            <w:tcW w:w="1908" w:type="dxa"/>
          </w:tcPr>
          <w:p w14:paraId="3C08A945" w14:textId="38AD4A55" w:rsidR="00FD0C7E" w:rsidRDefault="00FD0C7E" w:rsidP="00E167B5">
            <w:r>
              <w:t>-300</w:t>
            </w:r>
          </w:p>
        </w:tc>
      </w:tr>
      <w:tr w:rsidR="00FD0C7E" w14:paraId="17164195" w14:textId="33528F8A" w:rsidTr="00FD0C7E">
        <w:tc>
          <w:tcPr>
            <w:tcW w:w="2192" w:type="dxa"/>
          </w:tcPr>
          <w:p w14:paraId="6487B9E2" w14:textId="57F37ABD" w:rsidR="00FD0C7E" w:rsidRDefault="00FD0C7E" w:rsidP="00E167B5">
            <w:r>
              <w:t>green</w:t>
            </w:r>
          </w:p>
        </w:tc>
        <w:tc>
          <w:tcPr>
            <w:tcW w:w="2285" w:type="dxa"/>
          </w:tcPr>
          <w:p w14:paraId="27A8F97B" w14:textId="62C72DB8" w:rsidR="00FD0C7E" w:rsidRDefault="00FD0C7E" w:rsidP="00E167B5">
            <w:r>
              <w:t>0,255,0</w:t>
            </w:r>
          </w:p>
        </w:tc>
        <w:tc>
          <w:tcPr>
            <w:tcW w:w="2965" w:type="dxa"/>
          </w:tcPr>
          <w:p w14:paraId="45F30511" w14:textId="5522C1CB" w:rsidR="00FD0C7E" w:rsidRDefault="00FD0C7E" w:rsidP="00E167B5">
            <w:r>
              <w:t>DOOR</w:t>
            </w:r>
          </w:p>
        </w:tc>
        <w:tc>
          <w:tcPr>
            <w:tcW w:w="1908" w:type="dxa"/>
          </w:tcPr>
          <w:p w14:paraId="015961F3" w14:textId="40C10F97" w:rsidR="00FD0C7E" w:rsidRDefault="00FD0C7E" w:rsidP="00E167B5">
            <w:r>
              <w:t>-400</w:t>
            </w:r>
          </w:p>
        </w:tc>
      </w:tr>
      <w:tr w:rsidR="00FD0C7E" w14:paraId="7DEB9B44" w14:textId="5D0F5F52" w:rsidTr="00FD0C7E">
        <w:tc>
          <w:tcPr>
            <w:tcW w:w="2192" w:type="dxa"/>
          </w:tcPr>
          <w:p w14:paraId="4BDEB3E4" w14:textId="156C8C0C" w:rsidR="00FD0C7E" w:rsidRDefault="00FD0C7E" w:rsidP="00E167B5">
            <w:r>
              <w:t>yellow</w:t>
            </w:r>
          </w:p>
        </w:tc>
        <w:tc>
          <w:tcPr>
            <w:tcW w:w="2285" w:type="dxa"/>
          </w:tcPr>
          <w:p w14:paraId="4186D3B1" w14:textId="29133C05" w:rsidR="00FD0C7E" w:rsidRDefault="00FD0C7E" w:rsidP="00E167B5">
            <w:r>
              <w:t>255,255,0</w:t>
            </w:r>
          </w:p>
        </w:tc>
        <w:tc>
          <w:tcPr>
            <w:tcW w:w="2965" w:type="dxa"/>
          </w:tcPr>
          <w:p w14:paraId="39A80599" w14:textId="1FEB23B5" w:rsidR="00FD0C7E" w:rsidRDefault="00FD0C7E" w:rsidP="00E167B5">
            <w:r>
              <w:t>WINDOW</w:t>
            </w:r>
          </w:p>
        </w:tc>
        <w:tc>
          <w:tcPr>
            <w:tcW w:w="1908" w:type="dxa"/>
          </w:tcPr>
          <w:p w14:paraId="31C8C7E6" w14:textId="276D8B95" w:rsidR="00FD0C7E" w:rsidRDefault="00FD0C7E" w:rsidP="00E167B5">
            <w:r>
              <w:t>-500</w:t>
            </w:r>
          </w:p>
        </w:tc>
      </w:tr>
      <w:tr w:rsidR="00FD0C7E" w14:paraId="09337D6B" w14:textId="7EA99233" w:rsidTr="00FD0C7E">
        <w:tc>
          <w:tcPr>
            <w:tcW w:w="2192" w:type="dxa"/>
          </w:tcPr>
          <w:p w14:paraId="52B073FE" w14:textId="38091CE9" w:rsidR="00FD0C7E" w:rsidRDefault="00FD0C7E" w:rsidP="00E167B5">
            <w:r>
              <w:t>blue</w:t>
            </w:r>
          </w:p>
        </w:tc>
        <w:tc>
          <w:tcPr>
            <w:tcW w:w="2285" w:type="dxa"/>
          </w:tcPr>
          <w:p w14:paraId="3B42963E" w14:textId="57CE4FB2" w:rsidR="00FD0C7E" w:rsidRDefault="00FD0C7E" w:rsidP="00E167B5">
            <w:r>
              <w:t>0,0,255</w:t>
            </w:r>
          </w:p>
        </w:tc>
        <w:tc>
          <w:tcPr>
            <w:tcW w:w="2965" w:type="dxa"/>
          </w:tcPr>
          <w:p w14:paraId="565EAD84" w14:textId="34B1E9C0" w:rsidR="00FD0C7E" w:rsidRDefault="00FD0C7E" w:rsidP="00E167B5">
            <w:r>
              <w:t>VENTILATION</w:t>
            </w:r>
          </w:p>
        </w:tc>
        <w:tc>
          <w:tcPr>
            <w:tcW w:w="1908" w:type="dxa"/>
          </w:tcPr>
          <w:p w14:paraId="4A5AB1F4" w14:textId="6FC304D9" w:rsidR="00FD0C7E" w:rsidRDefault="00FD0C7E" w:rsidP="00E167B5">
            <w:r>
              <w:t>-600</w:t>
            </w:r>
          </w:p>
        </w:tc>
      </w:tr>
      <w:tr w:rsidR="00FD0C7E" w14:paraId="68DD30A9" w14:textId="1469A832" w:rsidTr="00FD0C7E">
        <w:tc>
          <w:tcPr>
            <w:tcW w:w="2192" w:type="dxa"/>
          </w:tcPr>
          <w:p w14:paraId="175F2AE5" w14:textId="063504CB" w:rsidR="00FD0C7E" w:rsidRDefault="00FD0C7E" w:rsidP="00E167B5">
            <w:r>
              <w:t>red</w:t>
            </w:r>
          </w:p>
        </w:tc>
        <w:tc>
          <w:tcPr>
            <w:tcW w:w="2285" w:type="dxa"/>
          </w:tcPr>
          <w:p w14:paraId="523C4138" w14:textId="21258060" w:rsidR="00FD0C7E" w:rsidRDefault="00FD0C7E" w:rsidP="00E167B5">
            <w:r>
              <w:t>255,0,0</w:t>
            </w:r>
          </w:p>
        </w:tc>
        <w:tc>
          <w:tcPr>
            <w:tcW w:w="2965" w:type="dxa"/>
          </w:tcPr>
          <w:p w14:paraId="38FD4F6F" w14:textId="097A5574" w:rsidR="00FD0C7E" w:rsidRDefault="00FD0C7E" w:rsidP="00E167B5">
            <w:r>
              <w:t>WORKSTATION</w:t>
            </w:r>
          </w:p>
        </w:tc>
        <w:tc>
          <w:tcPr>
            <w:tcW w:w="1908" w:type="dxa"/>
          </w:tcPr>
          <w:p w14:paraId="346655BD" w14:textId="73018102" w:rsidR="00FD0C7E" w:rsidRDefault="00FD0C7E" w:rsidP="00E167B5">
            <w:r>
              <w:t>-700</w:t>
            </w:r>
          </w:p>
        </w:tc>
      </w:tr>
    </w:tbl>
    <w:p w14:paraId="16366A13" w14:textId="719E3294" w:rsidR="00F05DBC" w:rsidRDefault="00F05DBC" w:rsidP="00F05DBC">
      <w:pPr>
        <w:pStyle w:val="Heading3"/>
      </w:pPr>
    </w:p>
    <w:p w14:paraId="5D0750B3" w14:textId="6DD5F656" w:rsidR="00D711AB" w:rsidRPr="00D711AB" w:rsidRDefault="00D711AB" w:rsidP="00D711AB">
      <w:r>
        <w:t xml:space="preserve">Note that certain elements </w:t>
      </w:r>
      <w:r w:rsidR="00F359A3">
        <w:t>(</w:t>
      </w:r>
      <w:r>
        <w:t xml:space="preserve">such as the concentration increase for CO2_SOURCE cells </w:t>
      </w:r>
      <w:r w:rsidR="00F359A3">
        <w:t>or</w:t>
      </w:r>
      <w:r>
        <w:t xml:space="preserve"> the default cel</w:t>
      </w:r>
      <w:r w:rsidR="00F359A3">
        <w:t>l properties)</w:t>
      </w:r>
      <w:r>
        <w:t xml:space="preserve"> cannot be modified in the configuration fil</w:t>
      </w:r>
      <w:r w:rsidR="0044640B">
        <w:t>e</w:t>
      </w:r>
      <w:r>
        <w:t>. These properties are hardcoded into the script.</w:t>
      </w:r>
    </w:p>
    <w:p w14:paraId="4C0D9DD9" w14:textId="753BE7BE" w:rsidR="00F05DBC" w:rsidRDefault="00F05DBC" w:rsidP="00F05DBC">
      <w:pPr>
        <w:pStyle w:val="Heading3"/>
      </w:pPr>
      <w:r>
        <w:t>Usage</w:t>
      </w:r>
    </w:p>
    <w:p w14:paraId="416D772E" w14:textId="34073A5C" w:rsidR="00F05DBC" w:rsidRDefault="00F05DBC" w:rsidP="00F05DBC">
      <w:r>
        <w:t>The script uses a Python module called Pillow (imported as “PIL” in the script)</w:t>
      </w:r>
      <w:r w:rsidR="009742F9">
        <w:t xml:space="preserve"> for image analysis</w:t>
      </w:r>
      <w:r>
        <w:t>. This module requires separate installation which can be done using pip. The module can be installed with the following command for Python 3:</w:t>
      </w:r>
    </w:p>
    <w:bookmarkStart w:id="0" w:name="_MON_1655541894"/>
    <w:bookmarkEnd w:id="0"/>
    <w:p w14:paraId="1F820863" w14:textId="77777777" w:rsidR="00F05DBC" w:rsidRDefault="00F05DBC" w:rsidP="00F05DBC">
      <w:r>
        <w:object w:dxaOrig="9360" w:dyaOrig="285" w14:anchorId="7B5AB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4pt" o:ole="">
            <v:imagedata r:id="rId6" o:title=""/>
          </v:shape>
          <o:OLEObject Type="Embed" ProgID="Word.OpenDocumentText.12" ShapeID="_x0000_i1025" DrawAspect="Content" ObjectID="_1657544450" r:id="rId7"/>
        </w:object>
      </w:r>
    </w:p>
    <w:p w14:paraId="43C77BEF" w14:textId="7CD80459" w:rsidR="00F05DBC" w:rsidRDefault="00F05DBC" w:rsidP="00F05DBC">
      <w:r>
        <w:t>The script itself has the following usage:</w:t>
      </w:r>
    </w:p>
    <w:bookmarkStart w:id="1" w:name="_MON_1655547173"/>
    <w:bookmarkEnd w:id="1"/>
    <w:p w14:paraId="56EA4B80" w14:textId="69759AA5" w:rsidR="00F05DBC" w:rsidRDefault="003A3ADC" w:rsidP="00F05DBC">
      <w:r>
        <w:object w:dxaOrig="9360" w:dyaOrig="285" w14:anchorId="6278B6E7">
          <v:shape id="_x0000_i1026" type="#_x0000_t75" style="width:468pt;height:14.4pt" o:ole="">
            <v:imagedata r:id="rId8" o:title=""/>
          </v:shape>
          <o:OLEObject Type="Embed" ProgID="Word.OpenDocumentText.12" ShapeID="_x0000_i1026" DrawAspect="Content" ObjectID="_1657544451" r:id="rId9"/>
        </w:object>
      </w:r>
    </w:p>
    <w:p w14:paraId="34F441E0" w14:textId="469B0085" w:rsidR="007572BE" w:rsidRDefault="007572BE" w:rsidP="00F05DBC">
      <w:r>
        <w:t>The arguments are as follows:</w:t>
      </w:r>
    </w:p>
    <w:tbl>
      <w:tblPr>
        <w:tblStyle w:val="TableGrid"/>
        <w:tblW w:w="0" w:type="auto"/>
        <w:tblLook w:val="04A0" w:firstRow="1" w:lastRow="0" w:firstColumn="1" w:lastColumn="0" w:noHBand="0" w:noVBand="1"/>
      </w:tblPr>
      <w:tblGrid>
        <w:gridCol w:w="2122"/>
        <w:gridCol w:w="7228"/>
      </w:tblGrid>
      <w:tr w:rsidR="007572BE" w14:paraId="02D25959" w14:textId="77777777" w:rsidTr="00665592">
        <w:tc>
          <w:tcPr>
            <w:tcW w:w="2122" w:type="dxa"/>
            <w:shd w:val="clear" w:color="auto" w:fill="D9D9D9" w:themeFill="background1" w:themeFillShade="D9"/>
          </w:tcPr>
          <w:p w14:paraId="1E95D149" w14:textId="0F686EFC" w:rsidR="007572BE" w:rsidRDefault="007856D6" w:rsidP="00F05DBC">
            <w:r>
              <w:t>Flag</w:t>
            </w:r>
          </w:p>
        </w:tc>
        <w:tc>
          <w:tcPr>
            <w:tcW w:w="7228" w:type="dxa"/>
            <w:shd w:val="clear" w:color="auto" w:fill="D9D9D9" w:themeFill="background1" w:themeFillShade="D9"/>
          </w:tcPr>
          <w:p w14:paraId="748A9065" w14:textId="77B0724E" w:rsidR="007572BE" w:rsidRDefault="007856D6" w:rsidP="00F05DBC">
            <w:r>
              <w:t>Description</w:t>
            </w:r>
          </w:p>
        </w:tc>
      </w:tr>
      <w:tr w:rsidR="007572BE" w14:paraId="34B177B7" w14:textId="77777777" w:rsidTr="007572BE">
        <w:tc>
          <w:tcPr>
            <w:tcW w:w="2122" w:type="dxa"/>
          </w:tcPr>
          <w:p w14:paraId="5ABA591D" w14:textId="38185964" w:rsidR="007572BE" w:rsidRDefault="007572BE" w:rsidP="00F05DBC">
            <w:r>
              <w:t>config</w:t>
            </w:r>
          </w:p>
        </w:tc>
        <w:tc>
          <w:tcPr>
            <w:tcW w:w="7228" w:type="dxa"/>
          </w:tcPr>
          <w:p w14:paraId="39F986B4" w14:textId="0E65121E" w:rsidR="007572BE" w:rsidRDefault="009217AB" w:rsidP="00F05DBC">
            <w:r>
              <w:t>R</w:t>
            </w:r>
            <w:r w:rsidR="007572BE">
              <w:t>equired argument; the path to the configuration file</w:t>
            </w:r>
          </w:p>
        </w:tc>
      </w:tr>
      <w:tr w:rsidR="007572BE" w14:paraId="2F601001" w14:textId="77777777" w:rsidTr="007572BE">
        <w:tc>
          <w:tcPr>
            <w:tcW w:w="2122" w:type="dxa"/>
          </w:tcPr>
          <w:p w14:paraId="174A7688" w14:textId="63263673" w:rsidR="007572BE" w:rsidRDefault="00A82D36" w:rsidP="00F05DBC">
            <w:r>
              <w:t>--help, -h</w:t>
            </w:r>
          </w:p>
        </w:tc>
        <w:tc>
          <w:tcPr>
            <w:tcW w:w="7228" w:type="dxa"/>
          </w:tcPr>
          <w:p w14:paraId="1EB20B16" w14:textId="6F69FDEB" w:rsidR="007572BE" w:rsidRDefault="00A82D36" w:rsidP="00F05DBC">
            <w:r>
              <w:t>Displays a description of the program and usage information</w:t>
            </w:r>
          </w:p>
        </w:tc>
      </w:tr>
      <w:tr w:rsidR="00A82D36" w14:paraId="22844365" w14:textId="77777777" w:rsidTr="007572BE">
        <w:tc>
          <w:tcPr>
            <w:tcW w:w="2122" w:type="dxa"/>
          </w:tcPr>
          <w:p w14:paraId="1352B502" w14:textId="4D6B513A" w:rsidR="00A82D36" w:rsidRDefault="00A82D36" w:rsidP="00A82D36">
            <w:r>
              <w:t>--dimensions, -d</w:t>
            </w:r>
          </w:p>
        </w:tc>
        <w:tc>
          <w:tcPr>
            <w:tcW w:w="7228" w:type="dxa"/>
          </w:tcPr>
          <w:p w14:paraId="66F6BB81" w14:textId="32E27DDC" w:rsidR="00A82D36" w:rsidRDefault="00A82D36" w:rsidP="00A82D36">
            <w:r>
              <w:t>Accepts two integers which represent the desired output dimensions; only used for image-to-JSON conversions</w:t>
            </w:r>
          </w:p>
        </w:tc>
      </w:tr>
      <w:tr w:rsidR="00A82D36" w14:paraId="2044061C" w14:textId="77777777" w:rsidTr="007572BE">
        <w:tc>
          <w:tcPr>
            <w:tcW w:w="2122" w:type="dxa"/>
          </w:tcPr>
          <w:p w14:paraId="471A3303" w14:textId="15CB2BA0" w:rsidR="00A82D36" w:rsidRDefault="00A82D36" w:rsidP="00A82D36">
            <w:r>
              <w:t>--progress-msg, -p</w:t>
            </w:r>
          </w:p>
        </w:tc>
        <w:tc>
          <w:tcPr>
            <w:tcW w:w="7228" w:type="dxa"/>
          </w:tcPr>
          <w:p w14:paraId="5323D234" w14:textId="716F05E0" w:rsidR="00A82D36" w:rsidRDefault="00A82D36" w:rsidP="00A82D36">
            <w:r>
              <w:t xml:space="preserve">Enables messages which detail the progress of the </w:t>
            </w:r>
            <w:r w:rsidR="00324CDA">
              <w:t>conversion</w:t>
            </w:r>
          </w:p>
        </w:tc>
      </w:tr>
      <w:tr w:rsidR="00A82D36" w14:paraId="1725BC98" w14:textId="77777777" w:rsidTr="007572BE">
        <w:tc>
          <w:tcPr>
            <w:tcW w:w="2122" w:type="dxa"/>
          </w:tcPr>
          <w:p w14:paraId="6CAB2541" w14:textId="1890EB52" w:rsidR="00A82D36" w:rsidRDefault="00A82D36" w:rsidP="00A82D36">
            <w:r>
              <w:t>--img-msg, -i</w:t>
            </w:r>
          </w:p>
        </w:tc>
        <w:tc>
          <w:tcPr>
            <w:tcW w:w="7228" w:type="dxa"/>
          </w:tcPr>
          <w:p w14:paraId="7CC11A95" w14:textId="7ADBE833" w:rsidR="00A82D36" w:rsidRDefault="00A82D36" w:rsidP="00A82D36">
            <w:r>
              <w:t>Enables messages which detail errors and notes that may occur that relate to image processing</w:t>
            </w:r>
          </w:p>
        </w:tc>
      </w:tr>
      <w:tr w:rsidR="00A82D36" w14:paraId="027132CC" w14:textId="77777777" w:rsidTr="007572BE">
        <w:tc>
          <w:tcPr>
            <w:tcW w:w="2122" w:type="dxa"/>
          </w:tcPr>
          <w:p w14:paraId="1DC0CD71" w14:textId="45428B67" w:rsidR="00A82D36" w:rsidRDefault="00A82D36" w:rsidP="00A82D36">
            <w:r>
              <w:t>--no-crit-msg, -c</w:t>
            </w:r>
          </w:p>
        </w:tc>
        <w:tc>
          <w:tcPr>
            <w:tcW w:w="7228" w:type="dxa"/>
          </w:tcPr>
          <w:p w14:paraId="089620B3" w14:textId="59BBBC28" w:rsidR="00A82D36" w:rsidRDefault="00A82D36" w:rsidP="00A82D36">
            <w:r>
              <w:t xml:space="preserve">Disables critical messages (such as file </w:t>
            </w:r>
            <w:r w:rsidR="00F16539">
              <w:t>location</w:t>
            </w:r>
            <w:r>
              <w:t xml:space="preserve"> and scaling issues); these messages show when an error causes the program to prematurely terminate</w:t>
            </w:r>
          </w:p>
        </w:tc>
      </w:tr>
    </w:tbl>
    <w:p w14:paraId="7448D670" w14:textId="77777777" w:rsidR="007572BE" w:rsidRDefault="007572BE" w:rsidP="00F05DBC"/>
    <w:p w14:paraId="11AE6BD8" w14:textId="405D2E5A" w:rsidR="00A16B64" w:rsidRDefault="00A16B64" w:rsidP="00A16B64">
      <w:pPr>
        <w:pStyle w:val="Heading3"/>
      </w:pPr>
      <w:r>
        <w:lastRenderedPageBreak/>
        <w:t>Creating Images</w:t>
      </w:r>
    </w:p>
    <w:p w14:paraId="24A1DF50" w14:textId="12C8D3D0" w:rsidR="00A16B64" w:rsidRPr="00A16B64" w:rsidRDefault="00A16B64" w:rsidP="00A16B64">
      <w:r>
        <w:t xml:space="preserve">The script </w:t>
      </w:r>
      <w:r w:rsidR="0008786B">
        <w:t xml:space="preserve">can </w:t>
      </w:r>
      <w:r>
        <w:t xml:space="preserve">work on a per-pixel basis. This means that each pixel is considered to be a cell. For a model with the shape </w:t>
      </w:r>
      <m:oMath>
        <m:r>
          <w:rPr>
            <w:rFonts w:ascii="Cambria Math" w:hAnsi="Cambria Math"/>
          </w:rPr>
          <m:t>25×30×14</m:t>
        </m:r>
      </m:oMath>
      <w:r>
        <w:rPr>
          <w:rFonts w:eastAsiaTheme="minorEastAsia"/>
        </w:rPr>
        <w:t>, the image should be 25 pixels by 30 pixels. Using an image manipulation program such as GIMP allows for the necessary amount of control. Programs such as Microsoft Paint also work but have a limited zoom and have no ruler.</w:t>
      </w:r>
    </w:p>
    <w:p w14:paraId="1BE16105" w14:textId="3D7286A3" w:rsidR="001A2F57" w:rsidRDefault="0081676D" w:rsidP="001A2F57">
      <w:r>
        <w:rPr>
          <w:noProof/>
        </w:rPr>
        <w:drawing>
          <wp:anchor distT="0" distB="0" distL="114300" distR="114300" simplePos="0" relativeHeight="251658240" behindDoc="0" locked="0" layoutInCell="1" allowOverlap="1" wp14:anchorId="3E690055" wp14:editId="6DA3FE45">
            <wp:simplePos x="0" y="0"/>
            <wp:positionH relativeFrom="margin">
              <wp:align>right</wp:align>
            </wp:positionH>
            <wp:positionV relativeFrom="margin">
              <wp:posOffset>1043940</wp:posOffset>
            </wp:positionV>
            <wp:extent cx="1435100" cy="2152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510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66F8">
        <w:t xml:space="preserve">It is important to note that an uncompressed image format should be used (such as </w:t>
      </w:r>
      <w:r w:rsidR="00A16B64">
        <w:t>a bitmap)</w:t>
      </w:r>
      <w:r w:rsidR="00FF54D7">
        <w:t xml:space="preserve"> for exact image processing</w:t>
      </w:r>
      <w:r w:rsidR="00A16B64">
        <w:t>. Using compressed formats (JPG, etc.) can result in pixels changing colours</w:t>
      </w:r>
      <w:r w:rsidR="00A14EC3">
        <w:t xml:space="preserve"> and blur</w:t>
      </w:r>
      <w:r w:rsidR="00425F9E">
        <w:t>r</w:t>
      </w:r>
      <w:r w:rsidR="00A14EC3">
        <w:t>ing</w:t>
      </w:r>
      <w:r w:rsidR="00A16B64">
        <w:t>.</w:t>
      </w:r>
    </w:p>
    <w:p w14:paraId="3E2072F7" w14:textId="00BC1A1B" w:rsidR="00FF54D7" w:rsidRDefault="00FF54D7" w:rsidP="001A2F57">
      <w:r>
        <w:t>If the image is larger than the desired scenario, the user can specify the required dimensions on the command line. The script will then scale down the resulting scenario.</w:t>
      </w:r>
      <w:r w:rsidR="002F55D9">
        <w:t xml:space="preserve"> This method is an inexact process which can result in strange results (such as thick walls</w:t>
      </w:r>
      <w:r w:rsidR="009A4613">
        <w:t xml:space="preserve"> or missing elements</w:t>
      </w:r>
      <w:r w:rsidR="002F55D9">
        <w:t>).</w:t>
      </w:r>
    </w:p>
    <w:p w14:paraId="5D395DB5" w14:textId="65DCF80F" w:rsidR="006C6639" w:rsidRPr="006C6639" w:rsidRDefault="00425F9E" w:rsidP="00AC5838">
      <w:r>
        <w:t>The picture</w:t>
      </w:r>
      <w:r w:rsidR="00784899">
        <w:t xml:space="preserve"> to the right</w:t>
      </w:r>
      <w:r>
        <w:t xml:space="preserve"> is an example of a model </w:t>
      </w:r>
      <w:r w:rsidR="00550B21">
        <w:t>before being converted</w:t>
      </w:r>
      <w:r>
        <w:t>. It uses the default colour values.</w:t>
      </w:r>
    </w:p>
    <w:sectPr w:rsidR="006C6639" w:rsidRPr="006C6639">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0080E" w14:textId="77777777" w:rsidR="00EA47B6" w:rsidRDefault="00EA47B6" w:rsidP="00B55242">
      <w:pPr>
        <w:spacing w:after="0" w:line="240" w:lineRule="auto"/>
      </w:pPr>
      <w:r>
        <w:separator/>
      </w:r>
    </w:p>
  </w:endnote>
  <w:endnote w:type="continuationSeparator" w:id="0">
    <w:p w14:paraId="0F53EC4D" w14:textId="77777777" w:rsidR="00EA47B6" w:rsidRDefault="00EA47B6" w:rsidP="00B5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4897311"/>
      <w:docPartObj>
        <w:docPartGallery w:val="Page Numbers (Bottom of Page)"/>
        <w:docPartUnique/>
      </w:docPartObj>
    </w:sdtPr>
    <w:sdtEndPr>
      <w:rPr>
        <w:noProof/>
      </w:rPr>
    </w:sdtEndPr>
    <w:sdtContent>
      <w:p w14:paraId="7724CC79" w14:textId="7D6A5817" w:rsidR="00915CF4" w:rsidRDefault="00915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23781" w14:textId="77777777" w:rsidR="00915CF4" w:rsidRDefault="00915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13E34" w14:textId="77777777" w:rsidR="00EA47B6" w:rsidRDefault="00EA47B6" w:rsidP="00B55242">
      <w:pPr>
        <w:spacing w:after="0" w:line="240" w:lineRule="auto"/>
      </w:pPr>
      <w:r>
        <w:separator/>
      </w:r>
    </w:p>
  </w:footnote>
  <w:footnote w:type="continuationSeparator" w:id="0">
    <w:p w14:paraId="4DB1F02A" w14:textId="77777777" w:rsidR="00EA47B6" w:rsidRDefault="00EA47B6" w:rsidP="00B55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2B"/>
    <w:rsid w:val="00002C22"/>
    <w:rsid w:val="00010136"/>
    <w:rsid w:val="00011358"/>
    <w:rsid w:val="000310C1"/>
    <w:rsid w:val="00037421"/>
    <w:rsid w:val="00056256"/>
    <w:rsid w:val="00065805"/>
    <w:rsid w:val="00071C49"/>
    <w:rsid w:val="00074529"/>
    <w:rsid w:val="0008786B"/>
    <w:rsid w:val="00092757"/>
    <w:rsid w:val="00097388"/>
    <w:rsid w:val="000D41DB"/>
    <w:rsid w:val="000D640B"/>
    <w:rsid w:val="000E64F9"/>
    <w:rsid w:val="00103E30"/>
    <w:rsid w:val="00115063"/>
    <w:rsid w:val="00115423"/>
    <w:rsid w:val="00121CFC"/>
    <w:rsid w:val="001236F8"/>
    <w:rsid w:val="001534B7"/>
    <w:rsid w:val="001574AE"/>
    <w:rsid w:val="0016498C"/>
    <w:rsid w:val="0018409A"/>
    <w:rsid w:val="0019677F"/>
    <w:rsid w:val="001A20A3"/>
    <w:rsid w:val="001A2F57"/>
    <w:rsid w:val="001A67F0"/>
    <w:rsid w:val="001B1445"/>
    <w:rsid w:val="001C0FE2"/>
    <w:rsid w:val="001C6569"/>
    <w:rsid w:val="001F2E8E"/>
    <w:rsid w:val="001F3454"/>
    <w:rsid w:val="001F4085"/>
    <w:rsid w:val="0021091C"/>
    <w:rsid w:val="00220DA1"/>
    <w:rsid w:val="00224D61"/>
    <w:rsid w:val="00235A16"/>
    <w:rsid w:val="0024472B"/>
    <w:rsid w:val="00245AD9"/>
    <w:rsid w:val="0026767F"/>
    <w:rsid w:val="00270DA6"/>
    <w:rsid w:val="002736EE"/>
    <w:rsid w:val="002856EB"/>
    <w:rsid w:val="002C28EB"/>
    <w:rsid w:val="002C46C8"/>
    <w:rsid w:val="002D7D59"/>
    <w:rsid w:val="002E3157"/>
    <w:rsid w:val="002E4FFF"/>
    <w:rsid w:val="002F31E1"/>
    <w:rsid w:val="002F55D9"/>
    <w:rsid w:val="0030700E"/>
    <w:rsid w:val="00322523"/>
    <w:rsid w:val="0032428A"/>
    <w:rsid w:val="00324CDA"/>
    <w:rsid w:val="00334E55"/>
    <w:rsid w:val="00342AE9"/>
    <w:rsid w:val="00350011"/>
    <w:rsid w:val="0036779A"/>
    <w:rsid w:val="00370ABF"/>
    <w:rsid w:val="00381D40"/>
    <w:rsid w:val="003923B9"/>
    <w:rsid w:val="00394A2C"/>
    <w:rsid w:val="003A04ED"/>
    <w:rsid w:val="003A3ADC"/>
    <w:rsid w:val="003A4B19"/>
    <w:rsid w:val="003B03E9"/>
    <w:rsid w:val="004006A2"/>
    <w:rsid w:val="00425F9E"/>
    <w:rsid w:val="004264CD"/>
    <w:rsid w:val="0044640B"/>
    <w:rsid w:val="00461C43"/>
    <w:rsid w:val="00483994"/>
    <w:rsid w:val="00484066"/>
    <w:rsid w:val="0049305E"/>
    <w:rsid w:val="004A001A"/>
    <w:rsid w:val="004B63AA"/>
    <w:rsid w:val="004B64D2"/>
    <w:rsid w:val="004B7EA5"/>
    <w:rsid w:val="004C413A"/>
    <w:rsid w:val="004D2C56"/>
    <w:rsid w:val="004D3518"/>
    <w:rsid w:val="004E0268"/>
    <w:rsid w:val="004E1CEC"/>
    <w:rsid w:val="004E3389"/>
    <w:rsid w:val="004E61BD"/>
    <w:rsid w:val="004E6F1D"/>
    <w:rsid w:val="00502270"/>
    <w:rsid w:val="00502C88"/>
    <w:rsid w:val="005036F6"/>
    <w:rsid w:val="005115D6"/>
    <w:rsid w:val="00523955"/>
    <w:rsid w:val="00524BD0"/>
    <w:rsid w:val="00550B21"/>
    <w:rsid w:val="0055219E"/>
    <w:rsid w:val="00555ECA"/>
    <w:rsid w:val="00572133"/>
    <w:rsid w:val="005752F5"/>
    <w:rsid w:val="005A3BB7"/>
    <w:rsid w:val="005A7617"/>
    <w:rsid w:val="005C0200"/>
    <w:rsid w:val="005C651D"/>
    <w:rsid w:val="005D06F7"/>
    <w:rsid w:val="005D7BE1"/>
    <w:rsid w:val="005E5B30"/>
    <w:rsid w:val="00606A50"/>
    <w:rsid w:val="00616B0A"/>
    <w:rsid w:val="0062307D"/>
    <w:rsid w:val="00627657"/>
    <w:rsid w:val="00665592"/>
    <w:rsid w:val="00682806"/>
    <w:rsid w:val="0068684E"/>
    <w:rsid w:val="006A2773"/>
    <w:rsid w:val="006A669B"/>
    <w:rsid w:val="006C6639"/>
    <w:rsid w:val="006E5735"/>
    <w:rsid w:val="006F7D33"/>
    <w:rsid w:val="0070590A"/>
    <w:rsid w:val="007222EE"/>
    <w:rsid w:val="00727307"/>
    <w:rsid w:val="00733815"/>
    <w:rsid w:val="00735AB7"/>
    <w:rsid w:val="00736540"/>
    <w:rsid w:val="00741AD7"/>
    <w:rsid w:val="0074460A"/>
    <w:rsid w:val="00745501"/>
    <w:rsid w:val="0074744E"/>
    <w:rsid w:val="007572BE"/>
    <w:rsid w:val="007575E3"/>
    <w:rsid w:val="00764DF0"/>
    <w:rsid w:val="00765DE6"/>
    <w:rsid w:val="00784899"/>
    <w:rsid w:val="007856D6"/>
    <w:rsid w:val="0079241D"/>
    <w:rsid w:val="00792C02"/>
    <w:rsid w:val="007A28B2"/>
    <w:rsid w:val="007A4CA4"/>
    <w:rsid w:val="007A5E79"/>
    <w:rsid w:val="007A7074"/>
    <w:rsid w:val="007B66F8"/>
    <w:rsid w:val="007E27B1"/>
    <w:rsid w:val="007E281C"/>
    <w:rsid w:val="007E3A7A"/>
    <w:rsid w:val="007E4803"/>
    <w:rsid w:val="007F31D4"/>
    <w:rsid w:val="008151D5"/>
    <w:rsid w:val="0081676D"/>
    <w:rsid w:val="00821E53"/>
    <w:rsid w:val="00825CD8"/>
    <w:rsid w:val="00843864"/>
    <w:rsid w:val="00844BF2"/>
    <w:rsid w:val="008463B5"/>
    <w:rsid w:val="008525E6"/>
    <w:rsid w:val="008616B0"/>
    <w:rsid w:val="00874ACE"/>
    <w:rsid w:val="00875655"/>
    <w:rsid w:val="0088538B"/>
    <w:rsid w:val="008B33F0"/>
    <w:rsid w:val="008B69A1"/>
    <w:rsid w:val="008C49C2"/>
    <w:rsid w:val="008D6B63"/>
    <w:rsid w:val="008E0E68"/>
    <w:rsid w:val="008E3E7F"/>
    <w:rsid w:val="008F1BF9"/>
    <w:rsid w:val="009103CE"/>
    <w:rsid w:val="00915CF4"/>
    <w:rsid w:val="009217AB"/>
    <w:rsid w:val="009429B9"/>
    <w:rsid w:val="00962798"/>
    <w:rsid w:val="00966DA8"/>
    <w:rsid w:val="0096732C"/>
    <w:rsid w:val="009742F9"/>
    <w:rsid w:val="00981738"/>
    <w:rsid w:val="00990E9D"/>
    <w:rsid w:val="009917BA"/>
    <w:rsid w:val="009941F8"/>
    <w:rsid w:val="00995680"/>
    <w:rsid w:val="00996612"/>
    <w:rsid w:val="009A0556"/>
    <w:rsid w:val="009A3FAD"/>
    <w:rsid w:val="009A4613"/>
    <w:rsid w:val="009B61FC"/>
    <w:rsid w:val="009C0027"/>
    <w:rsid w:val="009C60BE"/>
    <w:rsid w:val="009C7773"/>
    <w:rsid w:val="009D1BE1"/>
    <w:rsid w:val="009E448D"/>
    <w:rsid w:val="00A104DF"/>
    <w:rsid w:val="00A13285"/>
    <w:rsid w:val="00A14EC3"/>
    <w:rsid w:val="00A16B64"/>
    <w:rsid w:val="00A26B66"/>
    <w:rsid w:val="00A337FC"/>
    <w:rsid w:val="00A35327"/>
    <w:rsid w:val="00A43361"/>
    <w:rsid w:val="00A55B2F"/>
    <w:rsid w:val="00A62D63"/>
    <w:rsid w:val="00A66B06"/>
    <w:rsid w:val="00A67C86"/>
    <w:rsid w:val="00A82D36"/>
    <w:rsid w:val="00A9125F"/>
    <w:rsid w:val="00AA4CC0"/>
    <w:rsid w:val="00AC5838"/>
    <w:rsid w:val="00AD47D1"/>
    <w:rsid w:val="00AE5CD0"/>
    <w:rsid w:val="00AE6492"/>
    <w:rsid w:val="00B02E50"/>
    <w:rsid w:val="00B14302"/>
    <w:rsid w:val="00B21BC8"/>
    <w:rsid w:val="00B2475E"/>
    <w:rsid w:val="00B4296C"/>
    <w:rsid w:val="00B4426D"/>
    <w:rsid w:val="00B47B69"/>
    <w:rsid w:val="00B51A08"/>
    <w:rsid w:val="00B55242"/>
    <w:rsid w:val="00B55BD5"/>
    <w:rsid w:val="00B57931"/>
    <w:rsid w:val="00B71AFD"/>
    <w:rsid w:val="00B732B5"/>
    <w:rsid w:val="00B76D17"/>
    <w:rsid w:val="00B803A0"/>
    <w:rsid w:val="00B86789"/>
    <w:rsid w:val="00BA29D9"/>
    <w:rsid w:val="00BA494C"/>
    <w:rsid w:val="00BB0F55"/>
    <w:rsid w:val="00BB5618"/>
    <w:rsid w:val="00BB7769"/>
    <w:rsid w:val="00BC2440"/>
    <w:rsid w:val="00BE0B8B"/>
    <w:rsid w:val="00BE4073"/>
    <w:rsid w:val="00BF3391"/>
    <w:rsid w:val="00BF5B36"/>
    <w:rsid w:val="00C0190E"/>
    <w:rsid w:val="00C137E5"/>
    <w:rsid w:val="00C1550B"/>
    <w:rsid w:val="00C21AA4"/>
    <w:rsid w:val="00C32CCB"/>
    <w:rsid w:val="00C372E7"/>
    <w:rsid w:val="00C4600A"/>
    <w:rsid w:val="00C63CCF"/>
    <w:rsid w:val="00C702F9"/>
    <w:rsid w:val="00C72BB4"/>
    <w:rsid w:val="00C756CB"/>
    <w:rsid w:val="00C76119"/>
    <w:rsid w:val="00C84FED"/>
    <w:rsid w:val="00C91149"/>
    <w:rsid w:val="00C96586"/>
    <w:rsid w:val="00CA099C"/>
    <w:rsid w:val="00CA518D"/>
    <w:rsid w:val="00CB1853"/>
    <w:rsid w:val="00CB7476"/>
    <w:rsid w:val="00CE7AEC"/>
    <w:rsid w:val="00CF0F96"/>
    <w:rsid w:val="00CF7105"/>
    <w:rsid w:val="00D0038B"/>
    <w:rsid w:val="00D02B7D"/>
    <w:rsid w:val="00D03DD4"/>
    <w:rsid w:val="00D2742E"/>
    <w:rsid w:val="00D502D0"/>
    <w:rsid w:val="00D50FAD"/>
    <w:rsid w:val="00D52278"/>
    <w:rsid w:val="00D67114"/>
    <w:rsid w:val="00D711AB"/>
    <w:rsid w:val="00D752E1"/>
    <w:rsid w:val="00D91F47"/>
    <w:rsid w:val="00D95BA7"/>
    <w:rsid w:val="00DC5661"/>
    <w:rsid w:val="00DE3756"/>
    <w:rsid w:val="00DE4A5F"/>
    <w:rsid w:val="00E0190A"/>
    <w:rsid w:val="00E152DB"/>
    <w:rsid w:val="00E167B5"/>
    <w:rsid w:val="00E246B6"/>
    <w:rsid w:val="00E3385A"/>
    <w:rsid w:val="00E37D9A"/>
    <w:rsid w:val="00E45876"/>
    <w:rsid w:val="00E57920"/>
    <w:rsid w:val="00E6001E"/>
    <w:rsid w:val="00E62F58"/>
    <w:rsid w:val="00E6443B"/>
    <w:rsid w:val="00E720D5"/>
    <w:rsid w:val="00EA47B6"/>
    <w:rsid w:val="00EB55AC"/>
    <w:rsid w:val="00EB722E"/>
    <w:rsid w:val="00EC1EB1"/>
    <w:rsid w:val="00EC5EAE"/>
    <w:rsid w:val="00EE3CEB"/>
    <w:rsid w:val="00EF6795"/>
    <w:rsid w:val="00F00CE9"/>
    <w:rsid w:val="00F04B02"/>
    <w:rsid w:val="00F05DBC"/>
    <w:rsid w:val="00F077CB"/>
    <w:rsid w:val="00F16539"/>
    <w:rsid w:val="00F16601"/>
    <w:rsid w:val="00F2457C"/>
    <w:rsid w:val="00F26550"/>
    <w:rsid w:val="00F359A3"/>
    <w:rsid w:val="00F36113"/>
    <w:rsid w:val="00F404BF"/>
    <w:rsid w:val="00FA771A"/>
    <w:rsid w:val="00FB31BA"/>
    <w:rsid w:val="00FB58F3"/>
    <w:rsid w:val="00FB6A41"/>
    <w:rsid w:val="00FC59B0"/>
    <w:rsid w:val="00FD0C7E"/>
    <w:rsid w:val="00FE0C87"/>
    <w:rsid w:val="00FE4771"/>
    <w:rsid w:val="00FF0B4D"/>
    <w:rsid w:val="00FF1688"/>
    <w:rsid w:val="00FF5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8958"/>
  <w15:chartTrackingRefBased/>
  <w15:docId w15:val="{E0C74EA4-59B3-493C-9990-90BEAC28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47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67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E3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36F6"/>
    <w:rPr>
      <w:color w:val="808080"/>
    </w:rPr>
  </w:style>
  <w:style w:type="paragraph" w:styleId="Header">
    <w:name w:val="header"/>
    <w:basedOn w:val="Normal"/>
    <w:link w:val="HeaderChar"/>
    <w:uiPriority w:val="99"/>
    <w:unhideWhenUsed/>
    <w:rsid w:val="00B55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242"/>
  </w:style>
  <w:style w:type="paragraph" w:styleId="Footer">
    <w:name w:val="footer"/>
    <w:basedOn w:val="Normal"/>
    <w:link w:val="FooterChar"/>
    <w:uiPriority w:val="99"/>
    <w:unhideWhenUsed/>
    <w:rsid w:val="00B55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42"/>
  </w:style>
  <w:style w:type="paragraph" w:styleId="ListParagraph">
    <w:name w:val="List Paragraph"/>
    <w:basedOn w:val="Normal"/>
    <w:uiPriority w:val="34"/>
    <w:qFormat/>
    <w:rsid w:val="00757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Roller</dc:creator>
  <cp:keywords/>
  <dc:description/>
  <cp:lastModifiedBy>Thomas Roller</cp:lastModifiedBy>
  <cp:revision>648</cp:revision>
  <dcterms:created xsi:type="dcterms:W3CDTF">2020-07-06T14:13:00Z</dcterms:created>
  <dcterms:modified xsi:type="dcterms:W3CDTF">2020-07-29T20:14:00Z</dcterms:modified>
</cp:coreProperties>
</file>