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4682B4"/>
          <w:sz w:val="44"/>
        </w:rPr>
        <w:t>Technical Architecture &amp; Scalability Guide</w:t>
        <w:br/>
        <w:t>Anchor Pro SaaS</w:t>
      </w:r>
    </w:p>
    <w:p>
      <w:r>
        <w:rPr>
          <w:color w:val="C8C8C8"/>
        </w:rPr>
        <w:t>__________________________________________________________________</w:t>
      </w:r>
    </w:p>
    <w:p>
      <w:pPr>
        <w:pStyle w:val="Heading1"/>
      </w:pPr>
      <w:r>
        <w:rPr>
          <w:rFonts w:ascii="Calibri" w:hAnsi="Calibri"/>
          <w:b/>
          <w:color w:val="4682B4"/>
          <w:sz w:val="32"/>
        </w:rPr>
        <w:t>Technical Architecture &amp; Scalability Guide: Anchor Pro SaaS</w:t>
      </w:r>
    </w:p>
    <w:p>
      <w:r>
        <w:rPr>
          <w:rFonts w:ascii="Calibri" w:hAnsi="Calibri"/>
          <w:color w:val="2D3748"/>
          <w:sz w:val="22"/>
        </w:rPr>
        <w:t>This document provides a developer-friendly overview of the Anchor Pro system architecture. Use this guide to understand the code structure, the data isolation rules, the background services, and how the platform is built to scale.</w:t>
      </w:r>
    </w:p>
    <w:p>
      <w:r>
        <w:rPr>
          <w:color w:val="E5E7EB"/>
        </w:rPr>
        <w:t>__________________________________________________________________</w:t>
      </w:r>
    </w:p>
    <w:p>
      <w:pPr>
        <w:pStyle w:val="Heading2"/>
      </w:pPr>
      <w:r>
        <w:rPr>
          <w:rFonts w:ascii="Calibri" w:hAnsi="Calibri"/>
          <w:b/>
          <w:color w:val="4682B4"/>
          <w:sz w:val="28"/>
        </w:rPr>
        <w:t>1. High-Level System Architecture</w:t>
      </w:r>
    </w:p>
    <w:p>
      <w:r>
        <w:rPr>
          <w:rFonts w:ascii="Calibri" w:hAnsi="Calibri"/>
          <w:color w:val="2D3748"/>
          <w:sz w:val="22"/>
        </w:rPr>
        <w:t>Anchor Pro is a multi-tenant Software-as-a-Service (SaaS) platform composed of a stateless Next.js React client, an ASP.NET Core Web API, and a PostgreSQL database.</w:t>
      </w:r>
    </w:p>
    <w:p>
      <w:r>
        <w:rPr>
          <w:color w:val="E5E7EB"/>
        </w:rPr>
        <w:t>__________________________________________________________________</w:t>
      </w:r>
    </w:p>
    <w:p>
      <w:pPr>
        <w:pStyle w:val="Heading2"/>
      </w:pPr>
      <w:r>
        <w:rPr>
          <w:rFonts w:ascii="Calibri" w:hAnsi="Calibri"/>
          <w:b/>
          <w:color w:val="4682B4"/>
          <w:sz w:val="28"/>
        </w:rPr>
        <w:t>2. Directory &amp; Project Structure</w:t>
      </w:r>
    </w:p>
    <w:p>
      <w:r>
        <w:rPr>
          <w:rFonts w:ascii="Calibri" w:hAnsi="Calibri"/>
          <w:color w:val="2D3748"/>
          <w:sz w:val="22"/>
        </w:rPr>
        <w:t>The codebase is split into the Backend Web API (`AnchorPro`) and the Frontend Client (`anchor-pro-web`):</w:t>
      </w:r>
    </w:p>
    <w:p>
      <w:r>
        <w:rPr>
          <w:rFonts w:ascii="Consolas" w:hAnsi="Consolas"/>
          <w:color w:val="646E78"/>
          <w:sz w:val="19"/>
        </w:rPr>
        <w:t>Anchor Pro/</w:t>
      </w:r>
    </w:p>
    <w:p>
      <w:r>
        <w:rPr>
          <w:rFonts w:ascii="Consolas" w:hAnsi="Consolas"/>
          <w:color w:val="646E78"/>
          <w:sz w:val="19"/>
        </w:rPr>
        <w:t>├── AnchorPro/                      # ASP.NET Core Backend Project</w:t>
      </w:r>
    </w:p>
    <w:p>
      <w:r>
        <w:rPr>
          <w:rFonts w:ascii="Consolas" w:hAnsi="Consolas"/>
          <w:color w:val="646E78"/>
          <w:sz w:val="19"/>
        </w:rPr>
        <w:t>│   ├── Controllers/                # API controllers exposing REST endpoints</w:t>
      </w:r>
    </w:p>
    <w:p>
      <w:r>
        <w:rPr>
          <w:rFonts w:ascii="Consolas" w:hAnsi="Consolas"/>
          <w:color w:val="646E78"/>
          <w:sz w:val="19"/>
        </w:rPr>
        <w:t>│   ├── Services/                   # Business logic implementations</w:t>
      </w:r>
    </w:p>
    <w:p>
      <w:r>
        <w:rPr>
          <w:rFonts w:ascii="Consolas" w:hAnsi="Consolas"/>
          <w:color w:val="646E78"/>
          <w:sz w:val="19"/>
        </w:rPr>
        <w:t>│   │   └── Interfaces/             # Service contracts (interfaces)</w:t>
      </w:r>
    </w:p>
    <w:p>
      <w:r>
        <w:rPr>
          <w:rFonts w:ascii="Consolas" w:hAnsi="Consolas"/>
          <w:color w:val="646E78"/>
          <w:sz w:val="19"/>
        </w:rPr>
        <w:t>│   ├── Data/                       # Database Context &amp; Migrations</w:t>
      </w:r>
    </w:p>
    <w:p>
      <w:r>
        <w:rPr>
          <w:rFonts w:ascii="Consolas" w:hAnsi="Consolas"/>
          <w:color w:val="646E78"/>
          <w:sz w:val="19"/>
        </w:rPr>
        <w:t>│   │   ├── Entities/               # Database schemas (C# Classes)</w:t>
      </w:r>
    </w:p>
    <w:p>
      <w:r>
        <w:rPr>
          <w:rFonts w:ascii="Consolas" w:hAnsi="Consolas"/>
          <w:color w:val="646E78"/>
          <w:sz w:val="19"/>
        </w:rPr>
        <w:t>│   │   └── Enums/                  # System state enums (JobStatus, ToolCondition, etc.)</w:t>
      </w:r>
    </w:p>
    <w:p>
      <w:r>
        <w:rPr>
          <w:rFonts w:ascii="Consolas" w:hAnsi="Consolas"/>
          <w:color w:val="646E78"/>
          <w:sz w:val="19"/>
        </w:rPr>
        <w:t>│   ├── Components/                 # Secondary Blazor server-rendered views</w:t>
      </w:r>
    </w:p>
    <w:p>
      <w:r>
        <w:rPr>
          <w:rFonts w:ascii="Consolas" w:hAnsi="Consolas"/>
          <w:color w:val="646E78"/>
          <w:sz w:val="19"/>
        </w:rPr>
        <w:t>│   ├── Program.cs                  # Application bootstrap, routing, and DI registration</w:t>
      </w:r>
    </w:p>
    <w:p>
      <w:r>
        <w:rPr>
          <w:rFonts w:ascii="Consolas" w:hAnsi="Consolas"/>
          <w:color w:val="646E78"/>
          <w:sz w:val="19"/>
        </w:rPr>
        <w:t>│   └── appsettings.json            # Configuration keys and connection strings</w:t>
      </w:r>
    </w:p>
    <w:p>
      <w:r>
        <w:rPr>
          <w:rFonts w:ascii="Consolas" w:hAnsi="Consolas"/>
          <w:color w:val="646E78"/>
          <w:sz w:val="19"/>
        </w:rPr>
        <w:t>│</w:t>
      </w:r>
    </w:p>
    <w:p>
      <w:r>
        <w:rPr>
          <w:rFonts w:ascii="Consolas" w:hAnsi="Consolas"/>
          <w:color w:val="646E78"/>
          <w:sz w:val="19"/>
        </w:rPr>
        <w:t>└── anchor-pro-web/                 # Next.js 16 Client Project</w:t>
      </w:r>
    </w:p>
    <w:p>
      <w:r>
        <w:rPr>
          <w:rFonts w:ascii="Consolas" w:hAnsi="Consolas"/>
          <w:color w:val="646E78"/>
          <w:sz w:val="19"/>
        </w:rPr>
        <w:t xml:space="preserve">    ├── src/</w:t>
      </w:r>
    </w:p>
    <w:p>
      <w:r>
        <w:rPr>
          <w:rFonts w:ascii="Consolas" w:hAnsi="Consolas"/>
          <w:color w:val="646E78"/>
          <w:sz w:val="19"/>
        </w:rPr>
        <w:t xml:space="preserve">    │   ├── app/                    # Next.js App Router (dashboard, login, assets, etc.)</w:t>
      </w:r>
    </w:p>
    <w:p>
      <w:r>
        <w:rPr>
          <w:rFonts w:ascii="Consolas" w:hAnsi="Consolas"/>
          <w:color w:val="646E78"/>
          <w:sz w:val="19"/>
        </w:rPr>
        <w:t xml:space="preserve">    │   ├── components/             # Reusable UI widgets and modals</w:t>
      </w:r>
    </w:p>
    <w:p>
      <w:r>
        <w:rPr>
          <w:rFonts w:ascii="Consolas" w:hAnsi="Consolas"/>
          <w:color w:val="646E78"/>
          <w:sz w:val="19"/>
        </w:rPr>
        <w:t xml:space="preserve">    │   └── lib/                    # API wrappers, AuthContext, dictionaries</w:t>
      </w:r>
    </w:p>
    <w:p>
      <w:r>
        <w:rPr>
          <w:rFonts w:ascii="Consolas" w:hAnsi="Consolas"/>
          <w:color w:val="646E78"/>
          <w:sz w:val="19"/>
        </w:rPr>
        <w:t xml:space="preserve">    └── public/                     # Static media and PWA icons</w:t>
      </w:r>
    </w:p>
    <w:p>
      <w:r>
        <w:rPr>
          <w:color w:val="E5E7EB"/>
        </w:rPr>
        <w:t>__________________________________________________________________</w:t>
      </w:r>
    </w:p>
    <w:p>
      <w:pPr>
        <w:pStyle w:val="Heading2"/>
      </w:pPr>
      <w:r>
        <w:rPr>
          <w:rFonts w:ascii="Calibri" w:hAnsi="Calibri"/>
          <w:b/>
          <w:color w:val="4682B4"/>
          <w:sz w:val="28"/>
        </w:rPr>
        <w:t>3. Core Architectural Subsystems</w:t>
      </w:r>
    </w:p>
    <w:p>
      <w:pPr>
        <w:pStyle w:val="Heading3"/>
      </w:pPr>
      <w:r>
        <w:rPr>
          <w:rFonts w:ascii="Calibri" w:hAnsi="Calibri"/>
          <w:b/>
          <w:color w:val="2D3748"/>
          <w:sz w:val="24"/>
        </w:rPr>
        <w:t>A. Automatic Multi-Tenancy (Global Query Filters)</w:t>
      </w:r>
    </w:p>
    <w:p>
      <w:r>
        <w:rPr>
          <w:rFonts w:ascii="Calibri" w:hAnsi="Calibri"/>
          <w:color w:val="2D3748"/>
          <w:sz w:val="22"/>
        </w:rPr>
        <w:t>One of the most critical aspects of the backend is the Multi-Tenant Data Isolation model:</w:t>
      </w:r>
    </w:p>
    <w:p>
      <w:pPr>
        <w:pStyle w:val="ListBullet"/>
      </w:pPr>
      <w:r>
        <w:rPr>
          <w:rFonts w:ascii="Calibri" w:hAnsi="Calibri"/>
          <w:color w:val="2D3748"/>
          <w:sz w:val="22"/>
        </w:rPr>
        <w:t>Tenant Context Resolution: When a user logs in, the `ICurrentTenantService` resolves the active `TenantId` from the user claims embedded inside the authenticated identity cookie.</w:t>
      </w:r>
    </w:p>
    <w:p>
      <w:pPr>
        <w:pStyle w:val="ListBullet"/>
      </w:pPr>
      <w:r>
        <w:rPr>
          <w:rFonts w:ascii="Calibri" w:hAnsi="Calibri"/>
          <w:color w:val="2D3748"/>
          <w:sz w:val="22"/>
        </w:rPr>
        <w:t>ORM-Level Query Filtering: In `ApplicationDbContext.cs`, we use Entity Framework Core's `HasQueryFilter` API:</w:t>
      </w:r>
    </w:p>
    <w:p>
      <w:r>
        <w:rPr>
          <w:rFonts w:ascii="Consolas" w:hAnsi="Consolas"/>
          <w:color w:val="646E78"/>
          <w:sz w:val="19"/>
        </w:rPr>
        <w:t xml:space="preserve">  modelBuilder.Entity&lt;Equipment&gt;().HasQueryFilter(e =&gt; e.TenantId == CurrentTenantId);</w:t>
      </w:r>
    </w:p>
    <w:p>
      <w:pPr>
        <w:pStyle w:val="ListBullet"/>
      </w:pPr>
      <w:r>
        <w:rPr>
          <w:rFonts w:ascii="Calibri" w:hAnsi="Calibri"/>
          <w:color w:val="2D3748"/>
          <w:sz w:val="22"/>
        </w:rPr>
        <w:t>Why this scales: Developers do not have to append `.Where(x =&gt; x.TenantId == tenantId)` to every database query. The database context automatically interceptes all queries globally. This eliminates the risk of a developer forgetting a tenant filter and leaking data between different companies.</w:t>
      </w:r>
    </w:p>
    <w:p>
      <w:pPr>
        <w:pStyle w:val="ListBullet"/>
      </w:pPr>
      <w:r>
        <w:rPr>
          <w:rFonts w:ascii="Calibri" w:hAnsi="Calibri"/>
          <w:color w:val="2D3748"/>
          <w:sz w:val="22"/>
        </w:rPr>
        <w:t>Platform Owners: Administrators without a `TenantId` bypass this filter, enabling global settings management and cross-tenant support (e.g., impersonating a tenant to debug user issues).</w:t>
      </w:r>
    </w:p>
    <w:p>
      <w:pPr>
        <w:pStyle w:val="Heading3"/>
      </w:pPr>
      <w:r>
        <w:rPr>
          <w:rFonts w:ascii="Calibri" w:hAnsi="Calibri"/>
          <w:b/>
          <w:color w:val="2D3748"/>
          <w:sz w:val="24"/>
        </w:rPr>
        <w:t>B. Authentication, Security &amp; Stateful Cookies</w:t>
      </w:r>
    </w:p>
    <w:p>
      <w:pPr>
        <w:pStyle w:val="ListBullet"/>
      </w:pPr>
      <w:r>
        <w:rPr>
          <w:rFonts w:ascii="Calibri" w:hAnsi="Calibri"/>
          <w:color w:val="2D3748"/>
          <w:sz w:val="22"/>
        </w:rPr>
        <w:t>ASP.NET Core Identity: User credentials, hashing, and password resets are managed natively through ASP.NET Core Identity.</w:t>
      </w:r>
    </w:p>
    <w:p>
      <w:pPr>
        <w:pStyle w:val="ListBullet"/>
      </w:pPr>
      <w:r>
        <w:rPr>
          <w:rFonts w:ascii="Calibri" w:hAnsi="Calibri"/>
          <w:color w:val="2D3748"/>
          <w:sz w:val="22"/>
        </w:rPr>
        <w:t>HttpOnly Cookies: Session tokens are stored in `HttpOnly` and `SameSite` cookies, making them invisible to client-side scripts (guarding against Cross-Site Scripting, or XSS) and securing them over HTTPS.</w:t>
      </w:r>
    </w:p>
    <w:p>
      <w:pPr>
        <w:pStyle w:val="ListBullet"/>
      </w:pPr>
      <w:r>
        <w:rPr>
          <w:rFonts w:ascii="Calibri" w:hAnsi="Calibri"/>
          <w:color w:val="2D3748"/>
          <w:sz w:val="22"/>
        </w:rPr>
        <w:t>Role-Based Policies: Routes are secured using policy-based authorization handlers:</w:t>
      </w:r>
    </w:p>
    <w:p>
      <w:pPr>
        <w:pStyle w:val="ListBullet"/>
      </w:pPr>
      <w:r>
        <w:rPr>
          <w:rFonts w:ascii="Calibri" w:hAnsi="Calibri"/>
          <w:color w:val="2D3748"/>
          <w:sz w:val="22"/>
        </w:rPr>
        <w:t>`Admin`: Full organizational permissions.</w:t>
      </w:r>
    </w:p>
    <w:p>
      <w:pPr>
        <w:pStyle w:val="ListBullet"/>
      </w:pPr>
      <w:r>
        <w:rPr>
          <w:rFonts w:ascii="Calibri" w:hAnsi="Calibri"/>
          <w:color w:val="2D3748"/>
          <w:sz w:val="22"/>
        </w:rPr>
        <w:t>`Supervisor` / `Planner`: Manage templates, job card assignments, and asset lists.</w:t>
      </w:r>
    </w:p>
    <w:p>
      <w:pPr>
        <w:pStyle w:val="ListBullet"/>
      </w:pPr>
      <w:r>
        <w:rPr>
          <w:rFonts w:ascii="Calibri" w:hAnsi="Calibri"/>
          <w:color w:val="2D3748"/>
          <w:sz w:val="22"/>
        </w:rPr>
        <w:t>`Storeman` / `Purchasing`: Adjust stock levels and manage warehouse registers.</w:t>
      </w:r>
    </w:p>
    <w:p>
      <w:pPr>
        <w:pStyle w:val="ListBullet"/>
      </w:pPr>
      <w:r>
        <w:rPr>
          <w:rFonts w:ascii="Calibri" w:hAnsi="Calibri"/>
          <w:color w:val="2D3748"/>
          <w:sz w:val="22"/>
        </w:rPr>
        <w:t>`Technician`: Restricted to reviewing assignments, checking tasks, and uploading reports.</w:t>
      </w:r>
    </w:p>
    <w:p>
      <w:pPr>
        <w:pStyle w:val="Heading3"/>
      </w:pPr>
      <w:r>
        <w:rPr>
          <w:rFonts w:ascii="Calibri" w:hAnsi="Calibri"/>
          <w:b/>
          <w:color w:val="2D3748"/>
          <w:sz w:val="24"/>
        </w:rPr>
        <w:t>C. The Service-Interface Pattern</w:t>
      </w:r>
    </w:p>
    <w:p>
      <w:pPr>
        <w:pStyle w:val="ListBullet"/>
      </w:pPr>
      <w:r>
        <w:rPr>
          <w:rFonts w:ascii="Calibri" w:hAnsi="Calibri"/>
          <w:color w:val="2D3748"/>
          <w:sz w:val="22"/>
        </w:rPr>
        <w:t>All domain operations are defined via C# interfaces (e.g., `IToolService`, `IInventoryService`) and injected via dependency injection in `Program.cs`.</w:t>
      </w:r>
    </w:p>
    <w:p>
      <w:pPr>
        <w:pStyle w:val="ListBullet"/>
      </w:pPr>
      <w:r>
        <w:rPr>
          <w:rFonts w:ascii="Calibri" w:hAnsi="Calibri"/>
          <w:color w:val="2D3748"/>
          <w:sz w:val="22"/>
        </w:rPr>
        <w:t>Benefit: This decouples the presentation layer (Controllers) from the data access layer, making the system highly testable. Unit tests can mock service interfaces to verify controller behavior without writing to a live database.</w:t>
      </w:r>
    </w:p>
    <w:p>
      <w:pPr>
        <w:pStyle w:val="Heading3"/>
      </w:pPr>
      <w:r>
        <w:rPr>
          <w:rFonts w:ascii="Calibri" w:hAnsi="Calibri"/>
          <w:b/>
          <w:color w:val="2D3748"/>
          <w:sz w:val="24"/>
        </w:rPr>
        <w:t>D. Job Card Lifecycles &amp; The "Cost Trinity"</w:t>
      </w:r>
    </w:p>
    <w:p>
      <w:r>
        <w:rPr>
          <w:rFonts w:ascii="Calibri" w:hAnsi="Calibri"/>
          <w:color w:val="2D3748"/>
          <w:sz w:val="22"/>
        </w:rPr>
        <w:t>The financial engine calculates operating metrics for every job:</w:t>
      </w:r>
    </w:p>
    <w:p>
      <w:pPr>
        <w:pStyle w:val="ListNumber"/>
      </w:pPr>
      <w:r>
        <w:rPr>
          <w:rFonts w:ascii="Calibri" w:hAnsi="Calibri"/>
          <w:color w:val="2D3748"/>
          <w:sz w:val="22"/>
        </w:rPr>
        <w:t>Labor Cost: Derived dynamically from `Technician.HourlyRate` × time tracked on job tasks.</w:t>
      </w:r>
    </w:p>
    <w:p>
      <w:pPr>
        <w:pStyle w:val="ListNumber"/>
      </w:pPr>
      <w:r>
        <w:rPr>
          <w:rFonts w:ascii="Calibri" w:hAnsi="Calibri"/>
          <w:color w:val="2D3748"/>
          <w:sz w:val="22"/>
        </w:rPr>
        <w:t>Parts Cost: Deducted from the inventory warehouse system based on quantities consumed.</w:t>
      </w:r>
    </w:p>
    <w:p>
      <w:pPr>
        <w:pStyle w:val="ListNumber"/>
      </w:pPr>
      <w:r>
        <w:rPr>
          <w:rFonts w:ascii="Calibri" w:hAnsi="Calibri"/>
          <w:color w:val="2D3748"/>
          <w:sz w:val="22"/>
        </w:rPr>
        <w:t>External Purchases: Aggregated from subcontracted labor or direct parts purchases on Purchase Orders.</w:t>
      </w:r>
    </w:p>
    <w:p>
      <w:pPr>
        <w:pStyle w:val="ListBullet"/>
      </w:pPr>
      <w:r>
        <w:rPr>
          <w:rFonts w:ascii="Calibri" w:hAnsi="Calibri"/>
          <w:color w:val="2D3748"/>
          <w:sz w:val="22"/>
        </w:rPr>
        <w:t>Margin Monitoring: Invoices automatically account for local VAT. Management is alerted immediately if a job is closed with less than a 15% profit margin, ensuring operational profitability.</w:t>
      </w:r>
    </w:p>
    <w:p>
      <w:pPr>
        <w:pStyle w:val="Heading3"/>
      </w:pPr>
      <w:r>
        <w:rPr>
          <w:rFonts w:ascii="Calibri" w:hAnsi="Calibri"/>
          <w:b/>
          <w:color w:val="2D3748"/>
          <w:sz w:val="24"/>
        </w:rPr>
        <w:t>E. Background Workers &amp; Micro-Schedulers</w:t>
      </w:r>
    </w:p>
    <w:p>
      <w:pPr>
        <w:pStyle w:val="ListBullet"/>
      </w:pPr>
      <w:r>
        <w:rPr>
          <w:rFonts w:ascii="Calibri" w:hAnsi="Calibri"/>
          <w:color w:val="2D3748"/>
          <w:sz w:val="22"/>
        </w:rPr>
        <w:t>The `ReportingWorker` runs as an asynchronous background service (`IHostedService`) in the API container.</w:t>
      </w:r>
    </w:p>
    <w:p>
      <w:pPr>
        <w:pStyle w:val="ListBullet"/>
      </w:pPr>
      <w:r>
        <w:rPr>
          <w:rFonts w:ascii="Calibri" w:hAnsi="Calibri"/>
          <w:color w:val="2D3748"/>
          <w:sz w:val="22"/>
        </w:rPr>
        <w:t>It parses reports containing cron expressions, compiles the dataset into structured files (like inventory shortages or daily revenue), and emails them to managers. This operates out-of-band without degrading API response times for active users.</w:t>
      </w:r>
    </w:p>
    <w:p>
      <w:r>
        <w:rPr>
          <w:color w:val="E5E7EB"/>
        </w:rPr>
        <w:t>__________________________________________________________________</w:t>
      </w:r>
    </w:p>
    <w:p>
      <w:pPr>
        <w:pStyle w:val="Heading2"/>
      </w:pPr>
      <w:r>
        <w:rPr>
          <w:rFonts w:ascii="Calibri" w:hAnsi="Calibri"/>
          <w:b/>
          <w:color w:val="4682B4"/>
          <w:sz w:val="28"/>
        </w:rPr>
        <w:t>4. How the System Scales (Scalability Report)</w:t>
      </w:r>
    </w:p>
    <w:p>
      <w:r>
        <w:rPr>
          <w:rFonts w:ascii="Calibri" w:hAnsi="Calibri"/>
          <w:color w:val="2D3748"/>
          <w:sz w:val="22"/>
        </w:rPr>
        <w:t>When your supervisor reviews the platform, use these points to explain how the system is built to handle growth:</w:t>
      </w:r>
    </w:p>
    <w:p>
      <w:pPr>
        <w:pStyle w:val="Heading3"/>
      </w:pPr>
      <w:r>
        <w:rPr>
          <w:rFonts w:ascii="Calibri" w:hAnsi="Calibri"/>
          <w:b/>
          <w:color w:val="2D3748"/>
          <w:sz w:val="24"/>
        </w:rPr>
        <w:t>A. Stateless Web Layer (Horizontal Scaling)</w:t>
      </w:r>
    </w:p>
    <w:p>
      <w:pPr>
        <w:pStyle w:val="ListBullet"/>
      </w:pPr>
      <w:r>
        <w:rPr>
          <w:rFonts w:ascii="Calibri" w:hAnsi="Calibri"/>
          <w:color w:val="2D3748"/>
          <w:sz w:val="22"/>
        </w:rPr>
        <w:t>The Next.js client is completely static and can be distributed globally via CDN edges (Vercel, Cloudflare).</w:t>
      </w:r>
    </w:p>
    <w:p>
      <w:pPr>
        <w:pStyle w:val="ListBullet"/>
      </w:pPr>
      <w:r>
        <w:rPr>
          <w:rFonts w:ascii="Calibri" w:hAnsi="Calibri"/>
          <w:color w:val="2D3748"/>
          <w:sz w:val="22"/>
        </w:rPr>
        <w:t>The C# API container holds no session state in-memory. Authentication credentials reside inside cookies, and transactional states are stored in the database.</w:t>
      </w:r>
    </w:p>
    <w:p>
      <w:pPr>
        <w:pStyle w:val="ListBullet"/>
      </w:pPr>
      <w:r>
        <w:rPr>
          <w:rFonts w:ascii="Calibri" w:hAnsi="Calibri"/>
          <w:color w:val="2D3748"/>
          <w:sz w:val="22"/>
        </w:rPr>
        <w:t>Scaling Capability: Because the API is stateless, you can scale the backend containers horizontally (running 5 or 10 instances behind a load balancer) without session synchronization overhead.</w:t>
      </w:r>
    </w:p>
    <w:p>
      <w:pPr>
        <w:pStyle w:val="Heading3"/>
      </w:pPr>
      <w:r>
        <w:rPr>
          <w:rFonts w:ascii="Calibri" w:hAnsi="Calibri"/>
          <w:b/>
          <w:color w:val="2D3748"/>
          <w:sz w:val="24"/>
        </w:rPr>
        <w:t>B. Connection Pooling &amp; DB Factory Isolation</w:t>
      </w:r>
    </w:p>
    <w:p>
      <w:pPr>
        <w:pStyle w:val="ListBullet"/>
      </w:pPr>
      <w:r>
        <w:rPr>
          <w:rFonts w:ascii="Calibri" w:hAnsi="Calibri"/>
          <w:color w:val="2D3748"/>
          <w:sz w:val="22"/>
        </w:rPr>
        <w:t>Entity Framework Core can suffer from context locks if multiple parallel operations attempt to reuse the same scoped database context.</w:t>
      </w:r>
    </w:p>
    <w:p>
      <w:pPr>
        <w:pStyle w:val="ListBullet"/>
      </w:pPr>
      <w:r>
        <w:rPr>
          <w:rFonts w:ascii="Calibri" w:hAnsi="Calibri"/>
          <w:color w:val="2D3748"/>
          <w:sz w:val="22"/>
        </w:rPr>
        <w:t>To solve this, the application registers database context factories (`AddDbContextFactory`). Under high request volumes (e.g., large spreadsheet imports), services create isolated context instances:</w:t>
      </w:r>
    </w:p>
    <w:p>
      <w:r>
        <w:rPr>
          <w:rFonts w:ascii="Consolas" w:hAnsi="Consolas"/>
          <w:color w:val="646E78"/>
          <w:sz w:val="19"/>
        </w:rPr>
        <w:t xml:space="preserve">  using var context = _factory.CreateDbContext();</w:t>
      </w:r>
    </w:p>
    <w:p>
      <w:pPr>
        <w:pStyle w:val="ListBullet"/>
      </w:pPr>
      <w:r>
        <w:rPr>
          <w:rFonts w:ascii="Calibri" w:hAnsi="Calibri"/>
          <w:color w:val="2D3748"/>
          <w:sz w:val="22"/>
        </w:rPr>
        <w:t>This ensures database operations run asynchronously in parallel, maximizing the throughput of connection pools.</w:t>
      </w:r>
    </w:p>
    <w:p>
      <w:pPr>
        <w:pStyle w:val="Heading3"/>
      </w:pPr>
      <w:r>
        <w:rPr>
          <w:rFonts w:ascii="Calibri" w:hAnsi="Calibri"/>
          <w:b/>
          <w:color w:val="2D3748"/>
          <w:sz w:val="24"/>
        </w:rPr>
        <w:t>C. Resource-Friendly File Pipelines</w:t>
      </w:r>
    </w:p>
    <w:p>
      <w:pPr>
        <w:pStyle w:val="ListBullet"/>
      </w:pPr>
      <w:r>
        <w:rPr>
          <w:rFonts w:ascii="Calibri" w:hAnsi="Calibri"/>
          <w:color w:val="2D3748"/>
          <w:sz w:val="22"/>
        </w:rPr>
        <w:t>Mobile phone uploads (e.g., high-resolution task photos) are resized and compressed on the client side using HTML5 canvas base64 conversion before reaching the server.</w:t>
      </w:r>
    </w:p>
    <w:p>
      <w:pPr>
        <w:pStyle w:val="ListBullet"/>
      </w:pPr>
      <w:r>
        <w:rPr>
          <w:rFonts w:ascii="Calibri" w:hAnsi="Calibri"/>
          <w:color w:val="2D3748"/>
          <w:sz w:val="22"/>
        </w:rPr>
        <w:t>This reduces the API request body sizes from 10MB down to ~100KB, saving substantial network bandwidth and server processing cycles, and avoiding request timeouts.</w:t>
      </w:r>
    </w:p>
    <w:p>
      <w:pPr>
        <w:pStyle w:val="Heading3"/>
      </w:pPr>
      <w:r>
        <w:rPr>
          <w:rFonts w:ascii="Calibri" w:hAnsi="Calibri"/>
          <w:b/>
          <w:color w:val="2D3748"/>
          <w:sz w:val="24"/>
        </w:rPr>
        <w:t>D. Scaling from Logical to Physical Multi-Tenancy</w:t>
      </w:r>
    </w:p>
    <w:p>
      <w:pPr>
        <w:pStyle w:val="ListBullet"/>
      </w:pPr>
      <w:r>
        <w:rPr>
          <w:rFonts w:ascii="Calibri" w:hAnsi="Calibri"/>
          <w:color w:val="2D3748"/>
          <w:sz w:val="22"/>
        </w:rPr>
        <w:t>Logical Multi-Tenancy (Current): All tenants share a database, isolated via `TenantId` query filters. This is cost-efficient and easy to maintain.</w:t>
      </w:r>
    </w:p>
    <w:p>
      <w:pPr>
        <w:pStyle w:val="ListBullet"/>
      </w:pPr>
      <w:r>
        <w:rPr>
          <w:rFonts w:ascii="Calibri" w:hAnsi="Calibri"/>
          <w:color w:val="2D3748"/>
          <w:sz w:val="22"/>
        </w:rPr>
        <w:t>Physical Multi-Tenancy (Future Scale): If a corporate client requires physical database isolation (due to data sovereignty laws), the current architecture supports this. Since the `TenantId` resolution occurs during request initialization, the database context can be modified to route connection strings dynamically to different physical databases based on the resolved `TenantId`.</w:t>
      </w:r>
    </w:p>
    <w:p>
      <w:r>
        <w:rPr>
          <w:color w:val="E5E7EB"/>
        </w:rPr>
        <w:t>__________________________________________________________________</w:t>
      </w:r>
    </w:p>
    <w:p>
      <w:pPr>
        <w:pStyle w:val="Heading2"/>
      </w:pPr>
      <w:r>
        <w:rPr>
          <w:rFonts w:ascii="Calibri" w:hAnsi="Calibri"/>
          <w:b/>
          <w:color w:val="4682B4"/>
          <w:sz w:val="28"/>
        </w:rPr>
        <w:t>5. Interview Cheat Sheet ("What to Say to Your Supervisor")</w:t>
      </w:r>
    </w:p>
    <w:p>
      <w:r>
        <w:rPr>
          <w:rFonts w:ascii="Calibri" w:hAnsi="Calibri"/>
          <w:color w:val="2D3748"/>
          <w:sz w:val="22"/>
        </w:rPr>
        <w:t>Be prepared to answer these common technical questions:</w:t>
      </w:r>
    </w:p>
    <w:p>
      <w:pPr>
        <w:pStyle w:val="ListBullet"/>
      </w:pPr>
      <w:r>
        <w:rPr>
          <w:rFonts w:ascii="Calibri" w:hAnsi="Calibri"/>
          <w:color w:val="2D3748"/>
          <w:sz w:val="22"/>
        </w:rPr>
        <w:t>Q: "How do we prevent Tenant A from seeing Tenant B's data?"</w:t>
      </w:r>
    </w:p>
    <w:p>
      <w:pPr>
        <w:pStyle w:val="ListBullet"/>
      </w:pPr>
      <w:r>
        <w:rPr>
          <w:rFonts w:ascii="Calibri" w:hAnsi="Calibri"/>
          <w:color w:val="2D3748"/>
          <w:sz w:val="22"/>
        </w:rPr>
        <w:t>A: "We use EF Core Global Query Filters. The `ApplicationDbContext` intercepts all database queries and appends a `TenantId` filter automatically behind the scenes. It's impossible for a developer to forget this query parameter since it's enforced at the base data context level."</w:t>
      </w:r>
    </w:p>
    <w:p>
      <w:pPr>
        <w:pStyle w:val="ListBullet"/>
      </w:pPr>
      <w:r>
        <w:rPr>
          <w:rFonts w:ascii="Calibri" w:hAnsi="Calibri"/>
          <w:color w:val="2D3748"/>
          <w:sz w:val="22"/>
        </w:rPr>
        <w:t>Q: "What happens if 100 users upload large import sheets at the same time?"</w:t>
      </w:r>
    </w:p>
    <w:p>
      <w:pPr>
        <w:pStyle w:val="ListBullet"/>
      </w:pPr>
      <w:r>
        <w:rPr>
          <w:rFonts w:ascii="Calibri" w:hAnsi="Calibri"/>
          <w:color w:val="2D3748"/>
          <w:sz w:val="22"/>
        </w:rPr>
        <w:t>A: "First, the files are processed as streams in-memory rather than being saved to disk, which keeps storage utilization zero. Second, our services use DbContext factories to create isolated database contexts for each import, avoiding database context locks and utilizing connection pooling efficiently."</w:t>
      </w:r>
    </w:p>
    <w:p>
      <w:pPr>
        <w:pStyle w:val="ListBullet"/>
      </w:pPr>
      <w:r>
        <w:rPr>
          <w:rFonts w:ascii="Calibri" w:hAnsi="Calibri"/>
          <w:color w:val="2D3748"/>
          <w:sz w:val="22"/>
        </w:rPr>
        <w:t>Q: "How do we scale this if we get 10,000 active technicians?"</w:t>
      </w:r>
    </w:p>
    <w:p>
      <w:pPr>
        <w:pStyle w:val="ListBullet"/>
      </w:pPr>
      <w:r>
        <w:rPr>
          <w:rFonts w:ascii="Calibri" w:hAnsi="Calibri"/>
          <w:color w:val="2D3748"/>
          <w:sz w:val="22"/>
        </w:rPr>
        <w:t>A: "The backend container is stateless. We can spin up multiple copies of the API service on Kubernetes or Railway behind a load balancer. Since all database aggregates are resolved via indexed PostgreSQL queries and static files are served via CDN, the architecture can scale horizontally without structural changes."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