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760"/>
        <w:gridCol w:w="3600"/>
      </w:tblGrid>
      <w:tr>
        <w:tc>
          <w:tcPr>
            <w:tcW w:type="dxa" w:w="4320"/>
            <w:shd w:fill="0F2240"/>
          </w:tcPr>
          <w:p>
            <w:r>
              <w:rPr>
                <w:rFonts w:ascii="Arial" w:hAnsi="Arial"/>
                <w:b/>
                <w:color w:val="FFFFFF"/>
                <w:sz w:val="20"/>
              </w:rPr>
              <w:t>ANCHOR PRO — STANDARD OPERATING PROCEDURE &amp; TRAINING GUIDE</w:t>
            </w:r>
          </w:p>
        </w:tc>
        <w:tc>
          <w:tcPr>
            <w:tcW w:type="dxa" w:w="4320"/>
            <w:shd w:fill="0F2240"/>
          </w:tcPr>
          <w:p>
            <w:pPr>
              <w:jc w:val="right"/>
            </w:pPr>
            <w:r>
              <w:rPr>
                <w:rFonts w:ascii="Arial" w:hAnsi="Arial"/>
                <w:color w:val="FFFFFF"/>
                <w:sz w:val="20"/>
              </w:rPr>
              <w:t>ENTERPRISE ASSET MANAGEMENT</w:t>
            </w:r>
          </w:p>
        </w:tc>
      </w:tr>
    </w:tbl>
    <w:p>
      <w:pPr>
        <w:spacing w:after="480"/>
      </w:pPr>
    </w:p>
    <w:p>
      <w:pPr>
        <w:pStyle w:val="Heading1"/>
        <w:spacing w:before="480" w:after="120"/>
        <w:pBdr>
          <w:bottom w:val="single" w:sz="12" w:space="4" w:color="0F2240"/>
        </w:pBdr>
      </w:pPr>
      <w:r>
        <w:rPr>
          <w:rFonts w:ascii="Arial" w:hAnsi="Arial"/>
          <w:b/>
          <w:color w:val="0F2240"/>
          <w:sz w:val="32"/>
        </w:rPr>
        <w:t>1. Module Overview &amp; Purpose</w:t>
      </w:r>
    </w:p>
    <w:p>
      <w:pPr>
        <w:spacing w:after="200"/>
      </w:pPr>
      <w:r>
        <w:rPr>
          <w:rFonts w:ascii="Arial" w:hAnsi="Arial"/>
          <w:color w:val="333333"/>
          <w:sz w:val="22"/>
        </w:rPr>
        <w:t>The Enterprise Asset Management (EAM) module (referred to as the Equip Registry) forms the physical foundation of the AnchorPro platform. It manages the complete lifecycle of heavy machinery, specialized tooling, warehouse inventory, and the supply chain procurement.</w:t>
      </w:r>
    </w:p>
    <w:p>
      <w:pPr>
        <w:pStyle w:val="Heading1"/>
        <w:spacing w:before="480" w:after="120"/>
        <w:pBdr>
          <w:bottom w:val="single" w:sz="12" w:space="4" w:color="0F2240"/>
        </w:pBdr>
      </w:pPr>
      <w:r>
        <w:rPr>
          <w:rFonts w:ascii="Arial" w:hAnsi="Arial"/>
          <w:b/>
          <w:color w:val="0F2240"/>
          <w:sz w:val="32"/>
        </w:rPr>
        <w:t>2. Equipment Registry (Assets)</w:t>
      </w:r>
    </w:p>
    <w:p>
      <w:pPr>
        <w:spacing w:after="200"/>
      </w:pPr>
      <w:r>
        <w:rPr>
          <w:rFonts w:ascii="Arial" w:hAnsi="Arial"/>
          <w:color w:val="333333"/>
          <w:sz w:val="22"/>
        </w:rPr>
        <w:t>The Equipment Registry serves as the master database for all physical assets and heavy machinery, providing a top-level view of operational readiness and financial burden.</w:t>
      </w:r>
    </w:p>
    <w:p>
      <w:pPr>
        <w:pStyle w:val="ListBullet"/>
        <w:spacing w:after="80"/>
      </w:pPr>
      <w:r>
        <w:rPr>
          <w:rFonts w:ascii="Arial" w:hAnsi="Arial"/>
          <w:color w:val="333333"/>
          <w:sz w:val="21"/>
        </w:rPr>
        <w:t>Identification: Tracks Equipment Name, Manufacturer, Model Number, and Serial Number.</w:t>
      </w:r>
    </w:p>
    <w:p>
      <w:pPr>
        <w:pStyle w:val="ListBullet"/>
        <w:spacing w:after="80"/>
      </w:pPr>
      <w:r>
        <w:rPr>
          <w:rFonts w:ascii="Arial" w:hAnsi="Arial"/>
          <w:color w:val="333333"/>
          <w:sz w:val="21"/>
        </w:rPr>
        <w:t>Financial Tracking: System automatically aggregates all historical maintenance costs (labor + parts) over 3 years to calculate Lifetime Maintenance Cost.</w:t>
      </w:r>
    </w:p>
    <w:p>
      <w:pPr>
        <w:pStyle w:val="ListBullet"/>
        <w:spacing w:after="80"/>
      </w:pPr>
      <w:r>
        <w:rPr>
          <w:rFonts w:ascii="Arial" w:hAnsi="Arial"/>
          <w:color w:val="333333"/>
          <w:sz w:val="21"/>
        </w:rPr>
        <w:t>Criticality Alerts: Automatically tags assets with the highest maintenance costs with a '⚠ HIGH' warning badge.</w:t>
      </w:r>
    </w:p>
    <w:p>
      <w:pPr>
        <w:pStyle w:val="ListBullet"/>
        <w:spacing w:after="80"/>
      </w:pPr>
      <w:r>
        <w:rPr>
          <w:rFonts w:ascii="Arial" w:hAnsi="Arial"/>
          <w:color w:val="333333"/>
          <w:sz w:val="21"/>
        </w:rPr>
        <w:t>Dashboard KPIs: Tracks Total Equipments, Operational Count, Highest Cost Equipment, and Total Value Tracked.</w:t>
      </w:r>
    </w:p>
    <w:p>
      <w:pPr>
        <w:spacing w:after="160"/>
      </w:pPr>
    </w:p>
    <w:p>
      <w:pPr>
        <w:pStyle w:val="Heading1"/>
        <w:spacing w:before="480" w:after="120"/>
        <w:pBdr>
          <w:bottom w:val="single" w:sz="12" w:space="4" w:color="0F2240"/>
        </w:pBdr>
      </w:pPr>
      <w:r>
        <w:rPr>
          <w:rFonts w:ascii="Arial" w:hAnsi="Arial"/>
          <w:b/>
          <w:color w:val="0F2240"/>
          <w:sz w:val="32"/>
        </w:rPr>
        <w:t>3. Inventory &amp; Parts</w:t>
      </w:r>
    </w:p>
    <w:p>
      <w:pPr>
        <w:spacing w:after="200"/>
      </w:pPr>
      <w:r>
        <w:rPr>
          <w:rFonts w:ascii="Arial" w:hAnsi="Arial"/>
          <w:color w:val="333333"/>
          <w:sz w:val="22"/>
        </w:rPr>
        <w:t>The Inventory module manages warehouse stock, proactively monitors replenishment needs, and processes parts requests originating from active maintenance jobs.</w:t>
      </w:r>
    </w:p>
    <w:p>
      <w:pPr>
        <w:pStyle w:val="ListBullet"/>
        <w:spacing w:after="80"/>
      </w:pPr>
      <w:r>
        <w:rPr>
          <w:rFonts w:ascii="Arial" w:hAnsi="Arial"/>
          <w:color w:val="333333"/>
          <w:sz w:val="21"/>
        </w:rPr>
        <w:t>Stock Management: Track Quantities, Bins (via free-text location mapping), and Reorder Levels.</w:t>
      </w:r>
    </w:p>
    <w:p>
      <w:pPr>
        <w:pStyle w:val="ListBullet"/>
        <w:spacing w:after="80"/>
      </w:pPr>
      <w:r>
        <w:rPr>
          <w:rFonts w:ascii="Arial" w:hAnsi="Arial"/>
          <w:color w:val="333333"/>
          <w:sz w:val="21"/>
        </w:rPr>
        <w:t>Proactive Alerts: System compares Quantity on Hand against Reorder Level and applies a 'Low Stock' badge/banner when thresholds are crossed.</w:t>
      </w:r>
    </w:p>
    <w:p>
      <w:pPr>
        <w:pStyle w:val="ListBullet"/>
        <w:spacing w:after="80"/>
      </w:pPr>
      <w:r>
        <w:rPr>
          <w:rFonts w:ascii="Arial" w:hAnsi="Arial"/>
          <w:color w:val="333333"/>
          <w:sz w:val="21"/>
        </w:rPr>
        <w:t>Issuing Parts: Store managers issue parts directly to active Job Cards via the 'Parts Requests' tab. Issuing deducts stock and applies financial costs to the job.</w:t>
      </w:r>
    </w:p>
    <w:p>
      <w:pPr>
        <w:pStyle w:val="ListBullet"/>
        <w:spacing w:after="80"/>
      </w:pPr>
      <w:r>
        <w:rPr>
          <w:rFonts w:ascii="Arial" w:hAnsi="Arial"/>
          <w:color w:val="333333"/>
          <w:sz w:val="21"/>
        </w:rPr>
        <w:t>Manual Adjustments: Storemen can make manual +/- stock adjustments, which require a mandatory auditing reason.</w:t>
      </w:r>
    </w:p>
    <w:p>
      <w:pPr>
        <w:spacing w:after="160"/>
      </w:pPr>
    </w:p>
    <w:p>
      <w:pPr>
        <w:pStyle w:val="Heading1"/>
        <w:spacing w:before="480" w:after="120"/>
        <w:pBdr>
          <w:bottom w:val="single" w:sz="12" w:space="4" w:color="0F2240"/>
        </w:pBdr>
      </w:pPr>
      <w:r>
        <w:rPr>
          <w:rFonts w:ascii="Arial" w:hAnsi="Arial"/>
          <w:b/>
          <w:color w:val="0F2240"/>
          <w:sz w:val="32"/>
        </w:rPr>
        <w:t>4. Tools Registry</w:t>
      </w:r>
    </w:p>
    <w:p>
      <w:pPr>
        <w:spacing w:after="200"/>
      </w:pPr>
      <w:r>
        <w:rPr>
          <w:rFonts w:ascii="Arial" w:hAnsi="Arial"/>
          <w:color w:val="333333"/>
          <w:sz w:val="22"/>
        </w:rPr>
        <w:t>This module handles the calibration, tracking, and assignment of specialized tools that are shared among the technician pool.</w:t>
      </w:r>
    </w:p>
    <w:p>
      <w:pPr>
        <w:pStyle w:val="ListBullet"/>
        <w:spacing w:after="80"/>
      </w:pPr>
      <w:r>
        <w:rPr>
          <w:rFonts w:ascii="Arial" w:hAnsi="Arial"/>
          <w:color w:val="333333"/>
          <w:sz w:val="21"/>
        </w:rPr>
        <w:t>Tool Tracking: Logs Tool Tag/Serial, Name, Condition (New, Good, Fair, Damaged), and Status.</w:t>
      </w:r>
    </w:p>
    <w:p>
      <w:pPr>
        <w:pStyle w:val="ListBullet"/>
        <w:spacing w:after="80"/>
      </w:pPr>
      <w:r>
        <w:rPr>
          <w:rFonts w:ascii="Arial" w:hAnsi="Arial"/>
          <w:color w:val="333333"/>
          <w:sz w:val="21"/>
        </w:rPr>
        <w:t>Tool Loans: Issuing creates a transaction logging the Assigned User, Issue Date, and Expected Return Date.</w:t>
      </w:r>
    </w:p>
    <w:p>
      <w:pPr>
        <w:pStyle w:val="ListBullet"/>
        <w:spacing w:after="80"/>
      </w:pPr>
      <w:r>
        <w:rPr>
          <w:rFonts w:ascii="Arial" w:hAnsi="Arial"/>
          <w:color w:val="333333"/>
          <w:sz w:val="21"/>
        </w:rPr>
        <w:t>Overdue Alerts: Tools past their expected return date are aggressively flagged with an '(Overdue)' badge.</w:t>
      </w:r>
    </w:p>
    <w:p>
      <w:pPr>
        <w:pStyle w:val="ListBullet"/>
        <w:spacing w:after="80"/>
      </w:pPr>
      <w:r>
        <w:rPr>
          <w:rFonts w:ascii="Arial" w:hAnsi="Arial"/>
          <w:color w:val="333333"/>
          <w:sz w:val="21"/>
        </w:rPr>
        <w:t>Returns: Returning logs the tool back to the crib, resets status to 'Available', and allows condition updates.</w:t>
      </w:r>
    </w:p>
    <w:p>
      <w:pPr>
        <w:spacing w:after="160"/>
      </w:pPr>
    </w:p>
    <w:p>
      <w:pPr>
        <w:pStyle w:val="Heading1"/>
        <w:spacing w:before="480" w:after="120"/>
        <w:pBdr>
          <w:bottom w:val="single" w:sz="12" w:space="4" w:color="0F2240"/>
        </w:pBdr>
      </w:pPr>
      <w:r>
        <w:rPr>
          <w:rFonts w:ascii="Arial" w:hAnsi="Arial"/>
          <w:b/>
          <w:color w:val="0F2240"/>
          <w:sz w:val="32"/>
        </w:rPr>
        <w:t>5. Procurement (PR to GRN Workflow)</w:t>
      </w:r>
    </w:p>
    <w:p>
      <w:pPr>
        <w:spacing w:after="200"/>
      </w:pPr>
      <w:r>
        <w:rPr>
          <w:rFonts w:ascii="Arial" w:hAnsi="Arial"/>
          <w:color w:val="333333"/>
          <w:sz w:val="22"/>
        </w:rPr>
        <w:t>The Procurement Hub manages purchasing and inventory replenishment through a standardized requisition-to-receipt pipeline.</w:t>
      </w:r>
    </w:p>
    <w:p>
      <w:pPr>
        <w:pStyle w:val="ListBullet"/>
        <w:spacing w:after="80"/>
      </w:pPr>
      <w:r>
        <w:rPr>
          <w:rFonts w:ascii="Arial" w:hAnsi="Arial"/>
          <w:color w:val="333333"/>
          <w:sz w:val="21"/>
        </w:rPr>
        <w:t>1. Purchase Requisition (PR): Staff request goods. PRs can be Operational (linked to a Job Card), Departmental, or Inventory (replenishment).</w:t>
      </w:r>
    </w:p>
    <w:p>
      <w:pPr>
        <w:pStyle w:val="ListBullet"/>
        <w:spacing w:after="80"/>
      </w:pPr>
      <w:r>
        <w:rPr>
          <w:rFonts w:ascii="Arial" w:hAnsi="Arial"/>
          <w:color w:val="333333"/>
          <w:sz w:val="21"/>
        </w:rPr>
        <w:t>2. Purchase Order (PO): Approved PRs are converted to POs sent to a specific supplier.</w:t>
      </w:r>
    </w:p>
    <w:p>
      <w:pPr>
        <w:pStyle w:val="ListBullet"/>
        <w:spacing w:after="80"/>
      </w:pPr>
      <w:r>
        <w:rPr>
          <w:rFonts w:ascii="Arial" w:hAnsi="Arial"/>
          <w:color w:val="333333"/>
          <w:sz w:val="21"/>
        </w:rPr>
        <w:t>3. Goods Received Note (GRN): Users confirm received quantities (handling partial deliveries).</w:t>
      </w:r>
    </w:p>
    <w:p>
      <w:pPr>
        <w:pStyle w:val="ListBullet"/>
        <w:spacing w:after="80"/>
      </w:pPr>
      <w:r>
        <w:rPr>
          <w:rFonts w:ascii="Arial" w:hAnsi="Arial"/>
          <w:color w:val="333333"/>
          <w:sz w:val="21"/>
        </w:rPr>
        <w:t>Automation: Receiving an 'Inventory Replenishment' PO automatically adds stock to the warehouse, while receiving an 'Operational' PO syncs costs directly to the Job Card ledger.</w:t>
      </w:r>
    </w:p>
    <w:p>
      <w:pPr>
        <w:spacing w:after="160"/>
      </w:pPr>
    </w:p>
    <w:tbl>
      <w:tblPr>
        <w:tblW w:type="auto" w:w="0"/>
        <w:jc w:val="lef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880"/>
        <w:gridCol w:w="2880"/>
        <w:gridCol w:w="2880"/>
      </w:tblGrid>
      <w:tr>
        <w:tc>
          <w:tcPr>
            <w:tcW w:type="dxa" w:w="2880"/>
            <w:tcMar>
              <w:top w:w="100" w:type="dxa"/>
              <w:bottom w:w="100" w:type="dxa"/>
              <w:left w:w="150" w:type="dxa"/>
              <w:right w:w="150" w:type="dxa"/>
            </w:tcMar>
            <w:shd w:fill="0F2240"/>
          </w:tcPr>
          <w:p>
            <w:r>
              <w:rPr>
                <w:rFonts w:ascii="Arial" w:hAnsi="Arial"/>
                <w:b/>
                <w:color w:val="FFFFFF"/>
                <w:sz w:val="20"/>
              </w:rPr>
              <w:t>Procurement Stage</w:t>
            </w:r>
          </w:p>
        </w:tc>
        <w:tc>
          <w:tcPr>
            <w:tcW w:type="dxa" w:w="2880"/>
            <w:tcMar>
              <w:top w:w="100" w:type="dxa"/>
              <w:bottom w:w="100" w:type="dxa"/>
              <w:left w:w="150" w:type="dxa"/>
              <w:right w:w="150" w:type="dxa"/>
            </w:tcMar>
            <w:shd w:fill="0F2240"/>
          </w:tcPr>
          <w:p>
            <w:r>
              <w:rPr>
                <w:rFonts w:ascii="Arial" w:hAnsi="Arial"/>
                <w:b/>
                <w:color w:val="FFFFFF"/>
                <w:sz w:val="20"/>
              </w:rPr>
              <w:t>Action Taken</w:t>
            </w:r>
          </w:p>
        </w:tc>
        <w:tc>
          <w:tcPr>
            <w:tcW w:type="dxa" w:w="2880"/>
            <w:tcMar>
              <w:top w:w="100" w:type="dxa"/>
              <w:bottom w:w="100" w:type="dxa"/>
              <w:left w:w="150" w:type="dxa"/>
              <w:right w:w="150" w:type="dxa"/>
            </w:tcMar>
            <w:shd w:fill="0F2240"/>
          </w:tcPr>
          <w:p>
            <w:r>
              <w:rPr>
                <w:rFonts w:ascii="Arial" w:hAnsi="Arial"/>
                <w:b/>
                <w:color w:val="FFFFFF"/>
                <w:sz w:val="20"/>
              </w:rPr>
              <w:t>System Impact</w:t>
            </w:r>
          </w:p>
        </w:tc>
      </w:tr>
      <w:tr>
        <w:tc>
          <w:tcPr>
            <w:tcW w:type="dxa" w:w="2880"/>
            <w:tcMar>
              <w:top w:w="100" w:type="dxa"/>
              <w:bottom w:w="100" w:type="dxa"/>
              <w:left w:w="150" w:type="dxa"/>
              <w:right w:w="150" w:type="dxa"/>
            </w:tcMar>
            <w:shd w:fill="F0F4F8"/>
          </w:tcPr>
          <w:p>
            <w:r>
              <w:rPr>
                <w:rFonts w:ascii="Arial" w:hAnsi="Arial"/>
                <w:b/>
                <w:color w:val="0F2240"/>
                <w:sz w:val="20"/>
              </w:rPr>
              <w:t>Purchase Requisition (PR)</w:t>
            </w:r>
          </w:p>
        </w:tc>
        <w:tc>
          <w:tcPr>
            <w:tcW w:type="dxa" w:w="2880"/>
            <w:tcMar>
              <w:top w:w="100" w:type="dxa"/>
              <w:bottom w:w="100" w:type="dxa"/>
              <w:left w:w="150" w:type="dxa"/>
              <w:right w:w="150" w:type="dxa"/>
            </w:tcMar>
          </w:tcPr>
          <w:p>
            <w:r>
              <w:rPr>
                <w:rFonts w:ascii="Arial" w:hAnsi="Arial"/>
                <w:sz w:val="20"/>
              </w:rPr>
              <w:t>Request items and estimated cost</w:t>
            </w:r>
          </w:p>
        </w:tc>
        <w:tc>
          <w:tcPr>
            <w:tcW w:type="dxa" w:w="2880"/>
            <w:tcMar>
              <w:top w:w="100" w:type="dxa"/>
              <w:bottom w:w="100" w:type="dxa"/>
              <w:left w:w="150" w:type="dxa"/>
              <w:right w:w="150" w:type="dxa"/>
            </w:tcMar>
          </w:tcPr>
          <w:p>
            <w:r>
              <w:rPr>
                <w:rFonts w:ascii="Arial" w:hAnsi="Arial"/>
                <w:sz w:val="20"/>
              </w:rPr>
              <w:t>Awaiting Approval</w:t>
            </w:r>
          </w:p>
        </w:tc>
      </w:tr>
      <w:tr>
        <w:tc>
          <w:tcPr>
            <w:tcW w:type="dxa" w:w="2880"/>
            <w:tcMar>
              <w:top w:w="100" w:type="dxa"/>
              <w:bottom w:w="100" w:type="dxa"/>
              <w:left w:w="150" w:type="dxa"/>
              <w:right w:w="150" w:type="dxa"/>
            </w:tcMar>
            <w:shd w:fill="F0F4F8"/>
          </w:tcPr>
          <w:p>
            <w:r>
              <w:rPr>
                <w:rFonts w:ascii="Arial" w:hAnsi="Arial"/>
                <w:b/>
                <w:color w:val="0F2240"/>
                <w:sz w:val="20"/>
              </w:rPr>
              <w:t>Purchase Order (PO)</w:t>
            </w:r>
          </w:p>
        </w:tc>
        <w:tc>
          <w:tcPr>
            <w:tcW w:type="dxa" w:w="2880"/>
            <w:tcMar>
              <w:top w:w="100" w:type="dxa"/>
              <w:bottom w:w="100" w:type="dxa"/>
              <w:left w:w="150" w:type="dxa"/>
              <w:right w:w="150" w:type="dxa"/>
            </w:tcMar>
          </w:tcPr>
          <w:p>
            <w:r>
              <w:rPr>
                <w:rFonts w:ascii="Arial" w:hAnsi="Arial"/>
                <w:sz w:val="20"/>
              </w:rPr>
              <w:t>Official order sent to supplier</w:t>
            </w:r>
          </w:p>
        </w:tc>
        <w:tc>
          <w:tcPr>
            <w:tcW w:type="dxa" w:w="2880"/>
            <w:tcMar>
              <w:top w:w="100" w:type="dxa"/>
              <w:bottom w:w="100" w:type="dxa"/>
              <w:left w:w="150" w:type="dxa"/>
              <w:right w:w="150" w:type="dxa"/>
            </w:tcMar>
          </w:tcPr>
          <w:p>
            <w:r>
              <w:rPr>
                <w:rFonts w:ascii="Arial" w:hAnsi="Arial"/>
                <w:sz w:val="20"/>
              </w:rPr>
              <w:t>Commitment Logged</w:t>
            </w:r>
          </w:p>
        </w:tc>
      </w:tr>
      <w:tr>
        <w:tc>
          <w:tcPr>
            <w:tcW w:type="dxa" w:w="2880"/>
            <w:tcMar>
              <w:top w:w="100" w:type="dxa"/>
              <w:bottom w:w="100" w:type="dxa"/>
              <w:left w:w="150" w:type="dxa"/>
              <w:right w:w="150" w:type="dxa"/>
            </w:tcMar>
            <w:shd w:fill="F0F4F8"/>
          </w:tcPr>
          <w:p>
            <w:r>
              <w:rPr>
                <w:rFonts w:ascii="Arial" w:hAnsi="Arial"/>
                <w:b/>
                <w:color w:val="0F2240"/>
                <w:sz w:val="20"/>
              </w:rPr>
              <w:t>Goods Received Note (GRN)</w:t>
            </w:r>
          </w:p>
        </w:tc>
        <w:tc>
          <w:tcPr>
            <w:tcW w:type="dxa" w:w="2880"/>
            <w:tcMar>
              <w:top w:w="100" w:type="dxa"/>
              <w:bottom w:w="100" w:type="dxa"/>
              <w:left w:w="150" w:type="dxa"/>
              <w:right w:w="150" w:type="dxa"/>
            </w:tcMar>
          </w:tcPr>
          <w:p>
            <w:r>
              <w:rPr>
                <w:rFonts w:ascii="Arial" w:hAnsi="Arial"/>
                <w:sz w:val="20"/>
              </w:rPr>
              <w:t>Confirm physical receipt of goods</w:t>
            </w:r>
          </w:p>
        </w:tc>
        <w:tc>
          <w:tcPr>
            <w:tcW w:type="dxa" w:w="2880"/>
            <w:tcMar>
              <w:top w:w="100" w:type="dxa"/>
              <w:bottom w:w="100" w:type="dxa"/>
              <w:left w:w="150" w:type="dxa"/>
              <w:right w:w="150" w:type="dxa"/>
            </w:tcMar>
          </w:tcPr>
          <w:p>
            <w:r>
              <w:rPr>
                <w:rFonts w:ascii="Arial" w:hAnsi="Arial"/>
                <w:sz w:val="20"/>
              </w:rPr>
              <w:t>Auto-updates Stock / Job Card</w:t>
            </w:r>
          </w:p>
        </w:tc>
      </w:tr>
    </w:tbl>
    <w:p>
      <w:pPr>
        <w:spacing w:after="2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