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760"/>
        <w:gridCol w:w="3600"/>
      </w:tblGrid>
      <w:tr>
        <w:tc>
          <w:tcPr>
            <w:tcW w:type="dxa" w:w="4320"/>
            <w:shd w:fill="0F2240"/>
          </w:tcPr>
          <w:p>
            <w:r>
              <w:rPr>
                <w:rFonts w:ascii="Arial" w:hAnsi="Arial"/>
                <w:b/>
                <w:color w:val="FFFFFF"/>
                <w:sz w:val="20"/>
              </w:rPr>
              <w:t>ANCHOR PRO — STANDARD OPERATING PROCEDURE &amp; TRAINING GUIDE</w:t>
            </w:r>
          </w:p>
        </w:tc>
        <w:tc>
          <w:tcPr>
            <w:tcW w:type="dxa" w:w="4320"/>
            <w:shd w:fill="0F2240"/>
          </w:tcPr>
          <w:p>
            <w:pPr>
              <w:jc w:val="right"/>
            </w:pPr>
            <w:r>
              <w:rPr>
                <w:rFonts w:ascii="Arial" w:hAnsi="Arial"/>
                <w:color w:val="FFFFFF"/>
                <w:sz w:val="20"/>
              </w:rPr>
              <w:t>HUMAN RESOURCES MODULE</w:t>
            </w:r>
          </w:p>
        </w:tc>
      </w:tr>
    </w:tbl>
    <w:p>
      <w:pPr>
        <w:spacing w:after="480"/>
      </w:pPr>
    </w:p>
    <w:p>
      <w:pPr>
        <w:pStyle w:val="Heading1"/>
        <w:spacing w:before="480" w:after="120"/>
        <w:pBdr>
          <w:bottom w:val="single" w:sz="12" w:space="4" w:color="0F2240"/>
        </w:pBdr>
      </w:pPr>
      <w:r>
        <w:rPr>
          <w:rFonts w:ascii="Arial" w:hAnsi="Arial"/>
          <w:b/>
          <w:color w:val="0F2240"/>
          <w:sz w:val="32"/>
        </w:rPr>
        <w:t>1. Module Overview &amp; Purpose</w:t>
      </w:r>
    </w:p>
    <w:p>
      <w:pPr>
        <w:spacing w:after="200"/>
      </w:pPr>
      <w:r>
        <w:rPr>
          <w:rFonts w:ascii="Arial" w:hAnsi="Arial"/>
          <w:color w:val="333333"/>
          <w:sz w:val="22"/>
        </w:rPr>
        <w:t>The Human Resources (HR) and Roles module provides a centralized platform for managing employee records, employment contracts, payroll processing, and system access. It ensures that personnel data is securely maintained, statutory deductions are accurately calculated, and system permissions are properly delegated across the organization.</w:t>
      </w:r>
    </w:p>
    <w:p>
      <w:pPr>
        <w:pStyle w:val="Heading1"/>
        <w:spacing w:before="480" w:after="120"/>
        <w:pBdr>
          <w:bottom w:val="single" w:sz="12" w:space="4" w:color="0F2240"/>
        </w:pBdr>
      </w:pPr>
      <w:r>
        <w:rPr>
          <w:rFonts w:ascii="Arial" w:hAnsi="Arial"/>
          <w:b/>
          <w:color w:val="0F2240"/>
          <w:sz w:val="32"/>
        </w:rPr>
        <w:t>2. Employees</w:t>
      </w:r>
    </w:p>
    <w:p>
      <w:pPr>
        <w:spacing w:after="200"/>
      </w:pPr>
      <w:r>
        <w:rPr>
          <w:rFonts w:ascii="Arial" w:hAnsi="Arial"/>
          <w:color w:val="333333"/>
          <w:sz w:val="22"/>
        </w:rPr>
        <w:t>The Employees section serves as the central directory for all personnel records, consolidating personal, emergency, banking, and employment information into a single profile.</w:t>
      </w:r>
    </w:p>
    <w:p>
      <w:pPr>
        <w:pStyle w:val="ListBullet"/>
        <w:spacing w:after="80"/>
      </w:pPr>
      <w:r>
        <w:rPr>
          <w:rFonts w:ascii="Arial" w:hAnsi="Arial"/>
          <w:color w:val="333333"/>
          <w:sz w:val="21"/>
        </w:rPr>
        <w:t>Tracked Data: Personal Details, Emergency Contact, Bank Details (Confidential), Employment Details, and Documents.</w:t>
      </w:r>
    </w:p>
    <w:p>
      <w:pPr>
        <w:pStyle w:val="ListBullet"/>
        <w:spacing w:after="80"/>
      </w:pPr>
      <w:r>
        <w:rPr>
          <w:rFonts w:ascii="Arial" w:hAnsi="Arial"/>
          <w:color w:val="333333"/>
          <w:sz w:val="21"/>
        </w:rPr>
        <w:t>Actions: Search directory, view/edit profiles, and toggle Active/Inactive employment status.</w:t>
      </w:r>
    </w:p>
    <w:p>
      <w:pPr>
        <w:spacing w:after="160"/>
      </w:pPr>
    </w:p>
    <w:p>
      <w:pPr>
        <w:pStyle w:val="Heading1"/>
        <w:spacing w:before="480" w:after="120"/>
        <w:pBdr>
          <w:bottom w:val="single" w:sz="12" w:space="4" w:color="0F2240"/>
        </w:pBdr>
      </w:pPr>
      <w:r>
        <w:rPr>
          <w:rFonts w:ascii="Arial" w:hAnsi="Arial"/>
          <w:b/>
          <w:color w:val="0F2240"/>
          <w:sz w:val="32"/>
        </w:rPr>
        <w:t>3. Contracts</w:t>
      </w:r>
    </w:p>
    <w:p>
      <w:pPr>
        <w:spacing w:after="200"/>
      </w:pPr>
      <w:r>
        <w:rPr>
          <w:rFonts w:ascii="Arial" w:hAnsi="Arial"/>
          <w:color w:val="333333"/>
          <w:sz w:val="22"/>
        </w:rPr>
        <w:t>The Contracts section manages the legal terms of employment, compensation rates, and contract durations, ensuring that payroll calculations are based on accurate and up-to-date agreements.</w:t>
      </w:r>
    </w:p>
    <w:p>
      <w:pPr>
        <w:pStyle w:val="ListBullet"/>
        <w:spacing w:after="80"/>
      </w:pPr>
      <w:r>
        <w:rPr>
          <w:rFonts w:ascii="Arial" w:hAnsi="Arial"/>
          <w:color w:val="333333"/>
          <w:sz w:val="21"/>
        </w:rPr>
        <w:t>Types &amp; Status: Permanent, Fixed-Term, Probation, Casual. Statuses track Draft, Active, Expired, Terminated.</w:t>
      </w:r>
    </w:p>
    <w:p>
      <w:pPr>
        <w:pStyle w:val="ListBullet"/>
        <w:spacing w:after="80"/>
      </w:pPr>
      <w:r>
        <w:rPr>
          <w:rFonts w:ascii="Arial" w:hAnsi="Arial"/>
          <w:color w:val="333333"/>
          <w:sz w:val="21"/>
        </w:rPr>
        <w:t>Compensation: Tracks Monthly Salary or Hourly Rate.</w:t>
      </w:r>
    </w:p>
    <w:p>
      <w:pPr>
        <w:pStyle w:val="ListBullet"/>
        <w:spacing w:after="80"/>
      </w:pPr>
      <w:r>
        <w:rPr>
          <w:rFonts w:ascii="Arial" w:hAnsi="Arial"/>
          <w:color w:val="333333"/>
          <w:sz w:val="21"/>
        </w:rPr>
        <w:t>Shift Configuration: Defines Standard Hours per Month (e.g., 176) and Overtime Multipliers (e.g., 1.5x).</w:t>
      </w:r>
    </w:p>
    <w:p>
      <w:pPr>
        <w:pStyle w:val="ListBullet"/>
        <w:spacing w:after="80"/>
      </w:pPr>
      <w:r>
        <w:rPr>
          <w:rFonts w:ascii="Arial" w:hAnsi="Arial"/>
          <w:color w:val="333333"/>
          <w:sz w:val="21"/>
        </w:rPr>
        <w:t>Automated Alerts: System displays banners for contracts expiring within the next 30 days.</w:t>
      </w:r>
    </w:p>
    <w:p>
      <w:pPr>
        <w:spacing w:after="160"/>
      </w:pPr>
    </w:p>
    <w:p>
      <w:pPr>
        <w:pStyle w:val="Heading1"/>
        <w:spacing w:before="480" w:after="120"/>
        <w:pBdr>
          <w:bottom w:val="single" w:sz="12" w:space="4" w:color="0F2240"/>
        </w:pBdr>
      </w:pPr>
      <w:r>
        <w:rPr>
          <w:rFonts w:ascii="Arial" w:hAnsi="Arial"/>
          <w:b/>
          <w:color w:val="0F2240"/>
          <w:sz w:val="32"/>
        </w:rPr>
        <w:t>4. Payroll</w:t>
      </w:r>
    </w:p>
    <w:p>
      <w:pPr>
        <w:spacing w:after="200"/>
      </w:pPr>
      <w:r>
        <w:rPr>
          <w:rFonts w:ascii="Arial" w:hAnsi="Arial"/>
          <w:color w:val="333333"/>
          <w:sz w:val="22"/>
        </w:rPr>
        <w:t>The Payroll section automates monthly salary calculations and statutory deductions, directly integrating with tracked overtime hours from the Operations module.</w:t>
      </w:r>
    </w:p>
    <w:p>
      <w:pPr>
        <w:pStyle w:val="ListBullet"/>
        <w:spacing w:after="80"/>
      </w:pPr>
      <w:r>
        <w:rPr>
          <w:rFonts w:ascii="Arial" w:hAnsi="Arial"/>
          <w:color w:val="333333"/>
          <w:sz w:val="21"/>
        </w:rPr>
        <w:t>Drafting: Auto-populates payslips for active employees using contract rates and logged job card hours.</w:t>
      </w:r>
    </w:p>
    <w:p>
      <w:pPr>
        <w:pStyle w:val="ListBullet"/>
        <w:spacing w:after="80"/>
      </w:pPr>
      <w:r>
        <w:rPr>
          <w:rFonts w:ascii="Arial" w:hAnsi="Arial"/>
          <w:color w:val="333333"/>
          <w:sz w:val="21"/>
        </w:rPr>
        <w:t>Review &amp; Finalise: Summarizes Gross Pay, Net Pay, and Deductions. Finalising locks the run.</w:t>
      </w:r>
    </w:p>
    <w:p>
      <w:pPr>
        <w:pStyle w:val="ListBullet"/>
        <w:spacing w:after="80"/>
      </w:pPr>
      <w:r>
        <w:rPr>
          <w:rFonts w:ascii="Arial" w:hAnsi="Arial"/>
          <w:color w:val="333333"/>
          <w:sz w:val="21"/>
        </w:rPr>
        <w:t>Statutory Deductions: Automates PAYE (Zambian Tax Bands), NAPSA (Employee &amp; Employer), and NHIMA.</w:t>
      </w:r>
    </w:p>
    <w:p>
      <w:pPr>
        <w:spacing w:after="160"/>
      </w:pPr>
    </w:p>
    <w:tbl>
      <w:tblPr>
        <w:tblW w:type="auto" w:w="0"/>
        <w:jc w:val="left"/>
        <w:tblLook w:firstColumn="1" w:firstRow="1" w:lastColumn="0" w:lastRow="0" w:noHBand="0" w:noVBand="1" w:val="04A0"/>
        <w:tblBorders>
          <w:top w:val="single" w:sz="4" w:space="0" w:color="CCD6E0"/>
          <w:left w:val="single" w:sz="4" w:space="0" w:color="CCD6E0"/>
          <w:bottom w:val="single" w:sz="4" w:space="0" w:color="CCD6E0"/>
          <w:right w:val="single" w:sz="4" w:space="0" w:color="CCD6E0"/>
          <w:insideH w:val="single" w:sz="4" w:space="0" w:color="CCD6E0"/>
          <w:insideV w:val="single" w:sz="4" w:space="0" w:color="CCD6E0"/>
        </w:tblBorders>
      </w:tblPr>
      <w:tblGrid>
        <w:gridCol w:w="2880"/>
        <w:gridCol w:w="2880"/>
        <w:gridCol w:w="2880"/>
      </w:tblGrid>
      <w:tr>
        <w:tc>
          <w:tcPr>
            <w:tcW w:type="dxa" w:w="2880"/>
            <w:tcMar>
              <w:top w:w="100" w:type="dxa"/>
              <w:bottom w:w="100" w:type="dxa"/>
              <w:left w:w="150" w:type="dxa"/>
              <w:right w:w="150" w:type="dxa"/>
            </w:tcMar>
            <w:shd w:fill="0F2240"/>
          </w:tcPr>
          <w:p>
            <w:r>
              <w:rPr>
                <w:rFonts w:ascii="Arial" w:hAnsi="Arial"/>
                <w:b/>
                <w:color w:val="FFFFFF"/>
                <w:sz w:val="20"/>
              </w:rPr>
              <w:t>Earnings &amp; Deductions</w:t>
            </w:r>
          </w:p>
        </w:tc>
        <w:tc>
          <w:tcPr>
            <w:tcW w:type="dxa" w:w="2880"/>
            <w:tcMar>
              <w:top w:w="100" w:type="dxa"/>
              <w:bottom w:w="100" w:type="dxa"/>
              <w:left w:w="150" w:type="dxa"/>
              <w:right w:w="150" w:type="dxa"/>
            </w:tcMar>
            <w:shd w:fill="0F2240"/>
          </w:tcPr>
          <w:p>
            <w:r>
              <w:rPr>
                <w:rFonts w:ascii="Arial" w:hAnsi="Arial"/>
                <w:b/>
                <w:color w:val="FFFFFF"/>
                <w:sz w:val="20"/>
              </w:rPr>
              <w:t>Description</w:t>
            </w:r>
          </w:p>
        </w:tc>
        <w:tc>
          <w:tcPr>
            <w:tcW w:type="dxa" w:w="2880"/>
            <w:tcMar>
              <w:top w:w="100" w:type="dxa"/>
              <w:bottom w:w="100" w:type="dxa"/>
              <w:left w:w="150" w:type="dxa"/>
              <w:right w:w="150" w:type="dxa"/>
            </w:tcMar>
            <w:shd w:fill="0F2240"/>
          </w:tcPr>
          <w:p>
            <w:r>
              <w:rPr>
                <w:rFonts w:ascii="Arial" w:hAnsi="Arial"/>
                <w:b/>
                <w:color w:val="FFFFFF"/>
                <w:sz w:val="20"/>
              </w:rPr>
              <w:t>Source</w:t>
            </w:r>
          </w:p>
        </w:tc>
      </w:tr>
      <w:tr>
        <w:tc>
          <w:tcPr>
            <w:tcW w:type="dxa" w:w="2880"/>
            <w:tcMar>
              <w:top w:w="100" w:type="dxa"/>
              <w:bottom w:w="100" w:type="dxa"/>
              <w:left w:w="150" w:type="dxa"/>
              <w:right w:w="150" w:type="dxa"/>
            </w:tcMar>
            <w:shd w:fill="F0F4F8"/>
          </w:tcPr>
          <w:p>
            <w:r>
              <w:rPr>
                <w:rFonts w:ascii="Arial" w:hAnsi="Arial"/>
                <w:b/>
                <w:color w:val="0F2240"/>
                <w:sz w:val="20"/>
              </w:rPr>
              <w:t>Basic Salary / Gross Pay</w:t>
            </w:r>
          </w:p>
        </w:tc>
        <w:tc>
          <w:tcPr>
            <w:tcW w:type="dxa" w:w="2880"/>
            <w:tcMar>
              <w:top w:w="100" w:type="dxa"/>
              <w:bottom w:w="100" w:type="dxa"/>
              <w:left w:w="150" w:type="dxa"/>
              <w:right w:w="150" w:type="dxa"/>
            </w:tcMar>
          </w:tcPr>
          <w:p>
            <w:r>
              <w:rPr>
                <w:rFonts w:ascii="Arial" w:hAnsi="Arial"/>
                <w:sz w:val="20"/>
              </w:rPr>
              <w:t>Base remuneration before tax</w:t>
            </w:r>
          </w:p>
        </w:tc>
        <w:tc>
          <w:tcPr>
            <w:tcW w:type="dxa" w:w="2880"/>
            <w:tcMar>
              <w:top w:w="100" w:type="dxa"/>
              <w:bottom w:w="100" w:type="dxa"/>
              <w:left w:w="150" w:type="dxa"/>
              <w:right w:w="150" w:type="dxa"/>
            </w:tcMar>
          </w:tcPr>
          <w:p>
            <w:r>
              <w:rPr>
                <w:rFonts w:ascii="Arial" w:hAnsi="Arial"/>
                <w:sz w:val="20"/>
              </w:rPr>
              <w:t>Contract</w:t>
            </w:r>
          </w:p>
        </w:tc>
      </w:tr>
      <w:tr>
        <w:tc>
          <w:tcPr>
            <w:tcW w:type="dxa" w:w="2880"/>
            <w:tcMar>
              <w:top w:w="100" w:type="dxa"/>
              <w:bottom w:w="100" w:type="dxa"/>
              <w:left w:w="150" w:type="dxa"/>
              <w:right w:w="150" w:type="dxa"/>
            </w:tcMar>
            <w:shd w:fill="F0F4F8"/>
          </w:tcPr>
          <w:p>
            <w:r>
              <w:rPr>
                <w:rFonts w:ascii="Arial" w:hAnsi="Arial"/>
                <w:b/>
                <w:color w:val="0F2240"/>
                <w:sz w:val="20"/>
              </w:rPr>
              <w:t>Overtime Pay</w:t>
            </w:r>
          </w:p>
        </w:tc>
        <w:tc>
          <w:tcPr>
            <w:tcW w:type="dxa" w:w="2880"/>
            <w:tcMar>
              <w:top w:w="100" w:type="dxa"/>
              <w:bottom w:w="100" w:type="dxa"/>
              <w:left w:w="150" w:type="dxa"/>
              <w:right w:w="150" w:type="dxa"/>
            </w:tcMar>
          </w:tcPr>
          <w:p>
            <w:r>
              <w:rPr>
                <w:rFonts w:ascii="Arial" w:hAnsi="Arial"/>
                <w:sz w:val="20"/>
              </w:rPr>
              <w:t>Extra hours × Overtime Multiplier</w:t>
            </w:r>
          </w:p>
        </w:tc>
        <w:tc>
          <w:tcPr>
            <w:tcW w:type="dxa" w:w="2880"/>
            <w:tcMar>
              <w:top w:w="100" w:type="dxa"/>
              <w:bottom w:w="100" w:type="dxa"/>
              <w:left w:w="150" w:type="dxa"/>
              <w:right w:w="150" w:type="dxa"/>
            </w:tcMar>
          </w:tcPr>
          <w:p>
            <w:r>
              <w:rPr>
                <w:rFonts w:ascii="Arial" w:hAnsi="Arial"/>
                <w:sz w:val="20"/>
              </w:rPr>
              <w:t>Job Cards (Operations)</w:t>
            </w:r>
          </w:p>
        </w:tc>
      </w:tr>
      <w:tr>
        <w:tc>
          <w:tcPr>
            <w:tcW w:type="dxa" w:w="2880"/>
            <w:tcMar>
              <w:top w:w="100" w:type="dxa"/>
              <w:bottom w:w="100" w:type="dxa"/>
              <w:left w:w="150" w:type="dxa"/>
              <w:right w:w="150" w:type="dxa"/>
            </w:tcMar>
            <w:shd w:fill="F0F4F8"/>
          </w:tcPr>
          <w:p>
            <w:r>
              <w:rPr>
                <w:rFonts w:ascii="Arial" w:hAnsi="Arial"/>
                <w:b/>
                <w:color w:val="0F2240"/>
                <w:sz w:val="20"/>
              </w:rPr>
              <w:t>PAYE</w:t>
            </w:r>
          </w:p>
        </w:tc>
        <w:tc>
          <w:tcPr>
            <w:tcW w:type="dxa" w:w="2880"/>
            <w:tcMar>
              <w:top w:w="100" w:type="dxa"/>
              <w:bottom w:w="100" w:type="dxa"/>
              <w:left w:w="150" w:type="dxa"/>
              <w:right w:w="150" w:type="dxa"/>
            </w:tcMar>
          </w:tcPr>
          <w:p>
            <w:r>
              <w:rPr>
                <w:rFonts w:ascii="Arial" w:hAnsi="Arial"/>
                <w:sz w:val="20"/>
              </w:rPr>
              <w:t>Pay As You Earn Income Tax</w:t>
            </w:r>
          </w:p>
        </w:tc>
        <w:tc>
          <w:tcPr>
            <w:tcW w:type="dxa" w:w="2880"/>
            <w:tcMar>
              <w:top w:w="100" w:type="dxa"/>
              <w:bottom w:w="100" w:type="dxa"/>
              <w:left w:w="150" w:type="dxa"/>
              <w:right w:w="150" w:type="dxa"/>
            </w:tcMar>
          </w:tcPr>
          <w:p>
            <w:r>
              <w:rPr>
                <w:rFonts w:ascii="Arial" w:hAnsi="Arial"/>
                <w:sz w:val="20"/>
              </w:rPr>
              <w:t>System Tax Bands</w:t>
            </w:r>
          </w:p>
        </w:tc>
      </w:tr>
      <w:tr>
        <w:tc>
          <w:tcPr>
            <w:tcW w:type="dxa" w:w="2880"/>
            <w:tcMar>
              <w:top w:w="100" w:type="dxa"/>
              <w:bottom w:w="100" w:type="dxa"/>
              <w:left w:w="150" w:type="dxa"/>
              <w:right w:w="150" w:type="dxa"/>
            </w:tcMar>
            <w:shd w:fill="F0F4F8"/>
          </w:tcPr>
          <w:p>
            <w:r>
              <w:rPr>
                <w:rFonts w:ascii="Arial" w:hAnsi="Arial"/>
                <w:b/>
                <w:color w:val="0F2240"/>
                <w:sz w:val="20"/>
              </w:rPr>
              <w:t>NAPSA / NHIMA</w:t>
            </w:r>
          </w:p>
        </w:tc>
        <w:tc>
          <w:tcPr>
            <w:tcW w:type="dxa" w:w="2880"/>
            <w:tcMar>
              <w:top w:w="100" w:type="dxa"/>
              <w:bottom w:w="100" w:type="dxa"/>
              <w:left w:w="150" w:type="dxa"/>
              <w:right w:w="150" w:type="dxa"/>
            </w:tcMar>
          </w:tcPr>
          <w:p>
            <w:r>
              <w:rPr>
                <w:rFonts w:ascii="Arial" w:hAnsi="Arial"/>
                <w:sz w:val="20"/>
              </w:rPr>
              <w:t>Statutory pension and health deductions</w:t>
            </w:r>
          </w:p>
        </w:tc>
        <w:tc>
          <w:tcPr>
            <w:tcW w:type="dxa" w:w="2880"/>
            <w:tcMar>
              <w:top w:w="100" w:type="dxa"/>
              <w:bottom w:w="100" w:type="dxa"/>
              <w:left w:w="150" w:type="dxa"/>
              <w:right w:w="150" w:type="dxa"/>
            </w:tcMar>
          </w:tcPr>
          <w:p>
            <w:r>
              <w:rPr>
                <w:rFonts w:ascii="Arial" w:hAnsi="Arial"/>
                <w:sz w:val="20"/>
              </w:rPr>
              <w:t>System Rules</w:t>
            </w:r>
          </w:p>
        </w:tc>
      </w:tr>
    </w:tbl>
    <w:p>
      <w:pPr>
        <w:spacing w:after="240"/>
      </w:pPr>
    </w:p>
    <w:p>
      <w:pPr>
        <w:pStyle w:val="Heading1"/>
        <w:spacing w:before="480" w:after="120"/>
        <w:pBdr>
          <w:bottom w:val="single" w:sz="12" w:space="4" w:color="0F2240"/>
        </w:pBdr>
      </w:pPr>
      <w:r>
        <w:rPr>
          <w:rFonts w:ascii="Arial" w:hAnsi="Arial"/>
          <w:b/>
          <w:color w:val="0F2240"/>
          <w:sz w:val="32"/>
        </w:rPr>
        <w:t>5. User Management &amp; Departments</w:t>
      </w:r>
    </w:p>
    <w:p>
      <w:pPr>
        <w:spacing w:after="200"/>
      </w:pPr>
      <w:r>
        <w:rPr>
          <w:rFonts w:ascii="Arial" w:hAnsi="Arial"/>
          <w:color w:val="333333"/>
          <w:sz w:val="22"/>
        </w:rPr>
        <w:t>This section controls digital access to the AnchorPro system and groups resources into cost centers.</w:t>
      </w:r>
    </w:p>
    <w:p>
      <w:pPr>
        <w:pStyle w:val="ListBullet"/>
        <w:spacing w:after="80"/>
      </w:pPr>
      <w:r>
        <w:rPr>
          <w:rFonts w:ascii="Arial" w:hAnsi="Arial"/>
          <w:color w:val="333333"/>
          <w:sz w:val="21"/>
        </w:rPr>
        <w:t>User Accounts: Ties user logins directly to physical employee records.</w:t>
      </w:r>
    </w:p>
    <w:p>
      <w:pPr>
        <w:pStyle w:val="ListBullet"/>
        <w:spacing w:after="80"/>
      </w:pPr>
      <w:r>
        <w:rPr>
          <w:rFonts w:ascii="Arial" w:hAnsi="Arial"/>
          <w:color w:val="333333"/>
          <w:sz w:val="21"/>
        </w:rPr>
        <w:t>Account Actions: Invite users, reset passwords, change departments, toggle Active/Inactive.</w:t>
      </w:r>
    </w:p>
    <w:p>
      <w:pPr>
        <w:pStyle w:val="ListBullet"/>
        <w:spacing w:after="80"/>
      </w:pPr>
      <w:r>
        <w:rPr>
          <w:rFonts w:ascii="Arial" w:hAnsi="Arial"/>
          <w:color w:val="333333"/>
          <w:sz w:val="21"/>
        </w:rPr>
        <w:t>Departments: Acts as a cost center grouping Members, Assigned Assets, Procurement Logs (PR/PO), and Financials.</w:t>
      </w:r>
    </w:p>
    <w:p>
      <w:pPr>
        <w:spacing w:after="160"/>
      </w:pPr>
    </w:p>
    <w:p>
      <w:pPr>
        <w:pStyle w:val="Heading1"/>
        <w:spacing w:before="480" w:after="120"/>
        <w:pBdr>
          <w:bottom w:val="single" w:sz="12" w:space="4" w:color="0F2240"/>
        </w:pBdr>
      </w:pPr>
      <w:r>
        <w:rPr>
          <w:rFonts w:ascii="Arial" w:hAnsi="Arial"/>
          <w:b/>
          <w:color w:val="0F2240"/>
          <w:sz w:val="32"/>
        </w:rPr>
        <w:t>6. Roles &amp; Permissions</w:t>
      </w:r>
    </w:p>
    <w:p>
      <w:pPr>
        <w:spacing w:after="200"/>
      </w:pPr>
      <w:r>
        <w:rPr>
          <w:rFonts w:ascii="Arial" w:hAnsi="Arial"/>
          <w:color w:val="333333"/>
          <w:sz w:val="22"/>
        </w:rPr>
        <w:t>Allows administrators to dynamically define exactly what features and data users can see and interact with.</w:t>
      </w:r>
    </w:p>
    <w:p>
      <w:pPr>
        <w:pStyle w:val="ListBullet"/>
        <w:spacing w:after="80"/>
      </w:pPr>
      <w:r>
        <w:rPr>
          <w:rFonts w:ascii="Arial" w:hAnsi="Arial"/>
          <w:color w:val="333333"/>
          <w:sz w:val="21"/>
        </w:rPr>
        <w:t>Role Management: System Roles (locked) vs. Custom Roles (editable).</w:t>
      </w:r>
    </w:p>
    <w:p>
      <w:pPr>
        <w:pStyle w:val="ListBullet"/>
        <w:spacing w:after="80"/>
      </w:pPr>
      <w:r>
        <w:rPr>
          <w:rFonts w:ascii="Arial" w:hAnsi="Arial"/>
          <w:color w:val="333333"/>
          <w:sz w:val="21"/>
        </w:rPr>
        <w:t>Module Access: Checkboxes to grant access to entire modules (e.g., Job Cards, Invoices).</w:t>
      </w:r>
    </w:p>
    <w:p>
      <w:pPr>
        <w:pStyle w:val="ListBullet"/>
        <w:spacing w:after="80"/>
      </w:pPr>
      <w:r>
        <w:rPr>
          <w:rFonts w:ascii="Arial" w:hAnsi="Arial"/>
          <w:color w:val="333333"/>
          <w:sz w:val="21"/>
        </w:rPr>
        <w:t>Granular Actions: Specific permissions like 'Approve POs', 'Log Hours', or 'View Payroll'.</w:t>
      </w:r>
    </w:p>
    <w:p>
      <w:pPr>
        <w:spacing w:after="16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