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3600"/>
      </w:tblGrid>
      <w:tr>
        <w:tc>
          <w:tcPr>
            <w:tcW w:type="dxa" w:w="4320"/>
            <w:shd w:fill="0F5C3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ANCHOR PRO — STANDARD OPERATING PROCEDURE &amp; TRAINING GUIDE</w:t>
            </w:r>
          </w:p>
        </w:tc>
        <w:tc>
          <w:tcPr>
            <w:tcW w:type="dxa" w:w="4320"/>
            <w:shd w:fill="0F5C35"/>
          </w:tcPr>
          <w:p>
            <w:pPr>
              <w:jc w:val="right"/>
            </w:pPr>
            <w:r>
              <w:rPr>
                <w:rFonts w:ascii="Arial" w:hAnsi="Arial"/>
                <w:color w:val="FFFFFF"/>
                <w:sz w:val="20"/>
              </w:rPr>
              <w:t>OPERATIONS &amp; PLANNING</w:t>
            </w:r>
          </w:p>
        </w:tc>
      </w:tr>
    </w:tbl>
    <w:p>
      <w:pPr>
        <w:spacing w:after="480"/>
      </w:pPr>
    </w:p>
    <w:p>
      <w:pPr>
        <w:pStyle w:val="Heading1"/>
        <w:spacing w:before="480" w:after="120"/>
        <w:pBdr>
          <w:bottom w:val="single" w:sz="12" w:space="4" w:color="0F5C35"/>
        </w:pBdr>
      </w:pPr>
      <w:r>
        <w:rPr>
          <w:rFonts w:ascii="Arial" w:hAnsi="Arial"/>
          <w:b/>
          <w:color w:val="0F5C35"/>
          <w:sz w:val="32"/>
        </w:rPr>
        <w:t>1. Purpose</w:t>
      </w:r>
    </w:p>
    <w:p>
      <w:pPr>
        <w:spacing w:after="200"/>
      </w:pPr>
      <w:r>
        <w:rPr>
          <w:rFonts w:ascii="Arial" w:hAnsi="Arial"/>
          <w:color w:val="333333"/>
          <w:sz w:val="22"/>
        </w:rPr>
        <w:t>The purpose of this SOP is to establish a standardized and controlled method for executing, recording, and monitoring field maintenance and financial operations using the AnchorPro Operations &amp; Planning Module.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Asset Reliability: Track equipment downtime and maintenance history to reduce unexpected breakdowns.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Resource Management: Schedule, dispatch, and track technician workloads and utilisation metrics.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Safety Compliance: Enforce Permit-to-Work (PTW) and Lock-Out/Tag-Out (LOTO) protocols before hazardous jobs begin.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Financial Control: Capture real-time maintenance costs (labor, inventory parts, subcontracting, and direct purchases) and convert operational work directly into customer billing (Quotations and Invoices).</w:t>
      </w:r>
    </w:p>
    <w:p>
      <w:pPr>
        <w:spacing w:after="160"/>
      </w:pPr>
    </w:p>
    <w:p>
      <w:pPr>
        <w:pStyle w:val="Heading1"/>
        <w:spacing w:before="480" w:after="120"/>
        <w:pBdr>
          <w:bottom w:val="single" w:sz="12" w:space="4" w:color="0F5C35"/>
        </w:pBdr>
      </w:pPr>
      <w:r>
        <w:rPr>
          <w:rFonts w:ascii="Arial" w:hAnsi="Arial"/>
          <w:b/>
          <w:color w:val="0F5C35"/>
          <w:sz w:val="32"/>
        </w:rPr>
        <w:t>2. The Operational Lifecycle: Job to Invoice Flow</w:t>
      </w:r>
    </w:p>
    <w:p>
      <w:pPr>
        <w:spacing w:after="200"/>
      </w:pPr>
      <w:r>
        <w:rPr>
          <w:rFonts w:ascii="Arial" w:hAnsi="Arial"/>
          <w:color w:val="333333"/>
          <w:sz w:val="22"/>
        </w:rPr>
        <w:t>One of the most powerful features of AnchorPro is its unified document trail. Operational work is directly linked to financial invoicing through a strict document flow.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Step 1 - Raise Service Order: A team member creates a new Job Card specifying the customer, affected equipment (asset), job type, and general description. (Status: Unscheduled)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Step 2 - Scheduling &amp; Assignment: The dispatcher or scheduler assigns a Lead Technician, sets estimated labor hours, and schedules dates. (Status: Scheduled)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Step 3 - Safety Clearance: For high-risk tasks, a Permit-to-Work is issued. LOTO and PPE are verified. (Status: Active Permit)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Step 4 - Work Execution: The technician logs in, clicks 'Start Work', completes task checklists, logs parts, and uploads photos. (Status: In Progress)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Step 5 - Service Order Completion: Tasks are marked complete, and a supervisor closes the job card. The Financial Cost Trinity is calculated. (Status: Completed)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Step 6 - Raise Quotation: From the Doc Flow panel, a quotation is drafted auto-populating operational costs. Markups and VAT are applied.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Step 7 - Customer Acceptance: The quote is sent to the customer and marked 'Accepted' upon their agreement.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Step 8 - Auto-Invoice Generation: Accepting the quote automatically generates a final tax invoice linked to the Job Card and Customer profile.</w:t>
      </w:r>
    </w:p>
    <w:p>
      <w:pPr>
        <w:spacing w:after="160"/>
      </w:pPr>
    </w:p>
    <w:p>
      <w:pPr>
        <w:pStyle w:val="Heading1"/>
        <w:spacing w:before="480" w:after="120"/>
        <w:pBdr>
          <w:bottom w:val="single" w:sz="12" w:space="4" w:color="0F5C35"/>
        </w:pBdr>
      </w:pPr>
      <w:r>
        <w:rPr>
          <w:rFonts w:ascii="Arial" w:hAnsi="Arial"/>
          <w:b/>
          <w:color w:val="0F5C35"/>
          <w:sz w:val="32"/>
        </w:rPr>
        <w:t>3. Where Do the Invoices Go? (Finance Destinations)</w:t>
      </w:r>
    </w:p>
    <w:p>
      <w:pPr>
        <w:spacing w:after="200"/>
      </w:pPr>
      <w:r>
        <w:rPr>
          <w:rFonts w:ascii="Arial" w:hAnsi="Arial"/>
          <w:color w:val="333333"/>
          <w:sz w:val="22"/>
        </w:rPr>
        <w:t>Once an invoice is automatically generated from an accepted quotation, it is instantly routed to key financial locations: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Invoices &amp; Billing Registry: Central billing dashboard tracking payment status.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Finance Receivables Ledger: Updates the company's Total Invoiced and Total Outstanding metrics.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Customer Account History: Invoices log under the specific CRM profile for the client's financial standing and billing history.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General Ledger: Triggers double-entry accounting updates (Debit Accounts Receivable, Credit Service Revenue).</w:t>
      </w:r>
    </w:p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E0D8"/>
          <w:left w:val="single" w:sz="4" w:space="0" w:color="D0E0D8"/>
          <w:bottom w:val="single" w:sz="4" w:space="0" w:color="D0E0D8"/>
          <w:right w:val="single" w:sz="4" w:space="0" w:color="D0E0D8"/>
          <w:insideH w:val="single" w:sz="4" w:space="0" w:color="D0E0D8"/>
          <w:insideV w:val="single" w:sz="4" w:space="0" w:color="D0E0D8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5C3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Destination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5C3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Primary Action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0F5C35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Impacted Metric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EBF5F0"/>
          </w:tcPr>
          <w:p>
            <w:r>
              <w:rPr>
                <w:rFonts w:ascii="Arial" w:hAnsi="Arial"/>
                <w:b/>
                <w:color w:val="0F5C35"/>
                <w:sz w:val="20"/>
              </w:rPr>
              <w:t>Billing Registry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Track Payment Status (Unpaid/Paid)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Receivables Aging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EBF5F0"/>
          </w:tcPr>
          <w:p>
            <w:r>
              <w:rPr>
                <w:rFonts w:ascii="Arial" w:hAnsi="Arial"/>
                <w:b/>
                <w:color w:val="0F5C35"/>
                <w:sz w:val="20"/>
              </w:rPr>
              <w:t>Receivables Ledger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Update total amounts outstanding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Total Receivables Balance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EBF5F0"/>
          </w:tcPr>
          <w:p>
            <w:r>
              <w:rPr>
                <w:rFonts w:ascii="Arial" w:hAnsi="Arial"/>
                <w:b/>
                <w:color w:val="0F5C35"/>
                <w:sz w:val="20"/>
              </w:rPr>
              <w:t>CRM Profile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Log invoice to client account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Customer History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EBF5F0"/>
          </w:tcPr>
          <w:p>
            <w:r>
              <w:rPr>
                <w:rFonts w:ascii="Arial" w:hAnsi="Arial"/>
                <w:b/>
                <w:color w:val="0F5C35"/>
                <w:sz w:val="20"/>
              </w:rPr>
              <w:t>General Ledger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Double-entry accounting journal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Service Revenue / Assets</w:t>
            </w:r>
          </w:p>
        </w:tc>
      </w:tr>
    </w:tbl>
    <w:p>
      <w:pPr>
        <w:spacing w:after="240"/>
      </w:pPr>
    </w:p>
    <w:p>
      <w:pPr>
        <w:pStyle w:val="Heading1"/>
        <w:spacing w:before="480" w:after="120"/>
        <w:pBdr>
          <w:bottom w:val="single" w:sz="12" w:space="4" w:color="0F5C35"/>
        </w:pBdr>
      </w:pPr>
      <w:r>
        <w:rPr>
          <w:rFonts w:ascii="Arial" w:hAnsi="Arial"/>
          <w:b/>
          <w:color w:val="0F5C35"/>
          <w:sz w:val="32"/>
        </w:rPr>
        <w:t>4. Screen-by-Screen Reference Guide</w:t>
      </w:r>
    </w:p>
    <w:p>
      <w:pPr>
        <w:spacing w:after="200"/>
      </w:pPr>
      <w:r>
        <w:rPr>
          <w:rFonts w:ascii="Arial" w:hAnsi="Arial"/>
          <w:color w:val="333333"/>
          <w:sz w:val="22"/>
        </w:rPr>
        <w:t>Detailed functional breakdown of each sub-module in Operations &amp; Planning.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Dashboard: Live KPIs tracking Active Jobs, Jobs Completed, Overdue Jobs, and real-time technician Availability Status.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Service Order (Job Cards): Central registry to search, filter, export, and manage all work orders.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Planning Board: Visual dispatch tool featuring calendar grid and Kanban board with drag-and-drop rescheduling.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My Assignments: Mobile-friendly portal for technicians to complete checklists, requisition materials, and log incidents.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Time Tracking: Monitor team utilisation based on actual vs. scheduled job hours.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Down Time Log: Log asset breakdowns and track Mean Time to Repair (MTTR).</w:t>
      </w:r>
    </w:p>
    <w:p>
      <w:pPr>
        <w:pStyle w:val="ListBullet"/>
        <w:spacing w:after="80"/>
      </w:pPr>
      <w:r>
        <w:rPr>
          <w:rFonts w:ascii="Arial" w:hAnsi="Arial"/>
          <w:color w:val="333333"/>
          <w:sz w:val="21"/>
        </w:rPr>
        <w:t>Safety &amp; Compliance: Issue and suspend safety permits ensuring LOTO, Area Secure, and Toolbox Talk checks.</w:t>
      </w:r>
    </w:p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