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320"/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ANCHOR PRO — STANDARD OPERATING PROCEDURE &amp; TRAINING GUIDE</w:t>
            </w:r>
          </w:p>
        </w:tc>
        <w:tc>
          <w:tcPr>
            <w:tcW w:type="dxa" w:w="4320"/>
            <w:shd w:fill="0F2240"/>
          </w:tcPr>
          <w:p>
            <w:pPr>
              <w:jc w:val="right"/>
            </w:pPr>
            <w:r>
              <w:rPr>
                <w:rFonts w:ascii="Arial" w:hAnsi="Arial"/>
                <w:color w:val="FFFFFF"/>
                <w:sz w:val="20"/>
              </w:rPr>
              <w:t>SALES &amp; CUSTOMER</w:t>
            </w:r>
          </w:p>
        </w:tc>
      </w:tr>
    </w:tbl>
    <w:p>
      <w:pPr>
        <w:spacing w:after="48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1. Module Overview &amp; Purpose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The Sales &amp; Customer Module is the central hub for managing client relationships, establishing high-level service contracts, and driving the revenue cycle through automated quotations.</w:t>
      </w: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2. CRM &amp; Customers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The CRM section acts as the foundational directory for all client profiles, ensuring customer details are accurately linked to jobs, contracts, and financial documents.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Tracked Data: Captures Company/Customer Name, optional Customer Number, Contact Person, Email, Phone, and Address.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Single Primary Contact: The system currently links one primary contact person per profile. Additional contacts should be logged in the address/description notes.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3. Client Contracts &amp; SLAs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The Contracts tab allows the business to maintain a high-level registry of active agreements, retainers, and service level commitments with clients.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Contract Registry: Logs Customer, Contract Title, Start/End Dates, Total Value, and Status (Active, Pending, Expired).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Terms &amp; Notes: Specific SLAs (response times, MTTR) must be explicitly documented in the free-text Terms field for operational reference.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No Auto-Billing: Contracts serve as a financial KPI and reference; billing is driven directly by Job Cards rather than automated contract invoices.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2240"/>
        </w:pBdr>
      </w:pPr>
      <w:r>
        <w:rPr>
          <w:rFonts w:ascii="Arial" w:hAnsi="Arial"/>
          <w:b/>
          <w:color w:val="0F2240"/>
          <w:sz w:val="32"/>
        </w:rPr>
        <w:t>4. Quotations &amp; Billing Workflow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Quotations sit at the crucial intersection between field Operations (Jobs) and Finance, utilizing a unified Document Flow.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Drafting Quotes: Quotes are natively generated from active Job Cards. The system auto-calculates costs based on estimated labor hours and requested parts.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Automated Markups: System globally applies default parts/labor markups, which planners can manually adjust before drafting.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Client Approval: Quotes are tracked as Draft, Sent, Accepted, or Rejected. Acceptance is logged manually after client confirmation.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Auto-Conversion to Invoice: When a quote is 'Accepted', AnchorPro instantly generates the Tax Invoice, linking it to the Job Card and pushing it into Accounts Receivable.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D6E0"/>
          <w:left w:val="single" w:sz="4" w:space="0" w:color="CCD6E0"/>
          <w:bottom w:val="single" w:sz="4" w:space="0" w:color="CCD6E0"/>
          <w:right w:val="single" w:sz="4" w:space="0" w:color="CCD6E0"/>
          <w:insideH w:val="single" w:sz="4" w:space="0" w:color="CCD6E0"/>
          <w:insideV w:val="single" w:sz="4" w:space="0" w:color="CCD6E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Document Flow Stage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24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Financial Impact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Job Card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Click '+ Create Quote'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Auto-calculates parts &amp; labor estimates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Quotation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Mark Quote as 'Accepted'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Triggers Invoice Generation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0F4F8"/>
          </w:tcPr>
          <w:p>
            <w:r>
              <w:rPr>
                <w:rFonts w:ascii="Arial" w:hAnsi="Arial"/>
                <w:b/>
                <w:color w:val="0F2240"/>
                <w:sz w:val="20"/>
              </w:rPr>
              <w:t>Tax Invoice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Auto-Generated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Enters Finance Receivables Ledger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