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rFonts w:ascii="Calibri" w:hAnsi="Calibri"/>
          <w:b/>
          <w:color w:val="1A365D"/>
          <w:sz w:val="56"/>
        </w:rPr>
        <w:t>ANCHORPRO ERP &amp; CMMS</w:t>
      </w:r>
    </w:p>
    <w:p>
      <w:pPr>
        <w:spacing w:after="800"/>
        <w:jc w:val="center"/>
      </w:pPr>
      <w:r>
        <w:rPr>
          <w:rFonts w:ascii="Calibri" w:hAnsi="Calibri"/>
          <w:color w:val="4A5568"/>
          <w:sz w:val="32"/>
        </w:rPr>
        <w:t>Operations &amp; Enterprise Asset Management (EAM)</w:t>
        <w:br/>
        <w:t>Comprehensive Training &amp; Technical Guide</w:t>
      </w:r>
    </w:p>
    <w:p>
      <w:pPr>
        <w:spacing w:before="4000"/>
        <w:jc w:val="center"/>
      </w:pPr>
      <w:r>
        <w:rPr>
          <w:i/>
          <w:color w:val="4A5568"/>
          <w:sz w:val="19"/>
        </w:rPr>
        <w:t>Focus Area: Heavy Industrial Operations, Inventory Control, and Finance Workflows</w:t>
        <w:br/>
        <w:t>Version 1.2 • Published June 2026</w:t>
      </w:r>
    </w:p>
    <w:p>
      <w:r>
        <w:br w:type="page"/>
      </w:r>
    </w:p>
    <w:p>
      <w:pPr>
        <w:keepNext/>
        <w:spacing w:before="240" w:after="120"/>
      </w:pPr>
      <w:r>
        <w:rPr>
          <w:b/>
          <w:color w:val="1A365D"/>
          <w:sz w:val="36"/>
        </w:rPr>
        <w:t>1. Executive Summary &amp; Architecture</w:t>
      </w:r>
    </w:p>
    <w:p>
      <w:pPr>
        <w:spacing w:after="200" w:line="276" w:lineRule="auto"/>
      </w:pPr>
      <w:r>
        <w:t>AnchorPro represents a unified platform designed for heavy industry, mining, and field service environments. Unlike traditional, disconnected software suites, AnchorPro bridges the gap between physical execution (Operations) and physical support resources (Enterprise Asset Management), directly integrating with back-office accounting (Finance). Every operational action automatically reflects in the financial ledgers, preventing double-entry and ensuring accurate, real-time margin analysis.</w:t>
      </w:r>
    </w:p>
    <w:p>
      <w:pPr>
        <w:spacing w:after="280" w:line="276" w:lineRule="auto"/>
      </w:pPr>
      <w:r>
        <w:t>The system revolves around the concept of the 'Cost Trinity'—where labor hours, warehouse spare parts, and external subcontracted services are logged against a single, trackable entity: the Job Card. This Job Card is directly tied to a specific asset in the Asset Registry, ensuring a comprehensive operational and financial audit trail.</w:t>
      </w:r>
    </w:p>
    <w:p>
      <w:pPr>
        <w:keepNext/>
        <w:spacing w:before="360" w:after="120"/>
      </w:pPr>
      <w:r>
        <w:rPr>
          <w:b/>
          <w:color w:val="1A365D"/>
          <w:sz w:val="36"/>
        </w:rPr>
        <w:t>2. Enterprise Asset Management (EAM)</w:t>
      </w:r>
    </w:p>
    <w:p>
      <w:pPr>
        <w:keepNext/>
        <w:spacing w:before="200" w:after="80"/>
      </w:pPr>
      <w:r>
        <w:rPr>
          <w:b/>
          <w:color w:val="4A5568"/>
          <w:sz w:val="28"/>
        </w:rPr>
        <w:t>2.1 The Asset Registry</w:t>
      </w:r>
    </w:p>
    <w:p>
      <w:r>
        <w:t>The Asset Registry is the central database of all physical equipment. It tracks both internal company assets (e.g., haul trucks, drill rigs) and customer-owned assets under service contracts. Key parameters tracked include:</w:t>
      </w:r>
    </w:p>
    <w:p>
      <w:pPr>
        <w:pStyle w:val="ListBullet"/>
        <w:spacing w:after="60" w:line="276" w:lineRule="auto"/>
      </w:pPr>
      <w:r>
        <w:rPr>
          <w:b/>
        </w:rPr>
        <w:t>Asset Identification:</w:t>
      </w:r>
      <w:r>
        <w:t xml:space="preserve"> Unique Serial Numbers, Model Numbers, and OEM specifications to ensure exact-match part ordering.</w:t>
      </w:r>
    </w:p>
    <w:p>
      <w:pPr>
        <w:pStyle w:val="ListBullet"/>
        <w:spacing w:after="60" w:line="276" w:lineRule="auto"/>
      </w:pPr>
      <w:r>
        <w:rPr>
          <w:b/>
        </w:rPr>
        <w:t>Meter Readings:</w:t>
      </w:r>
      <w:r>
        <w:t xml:space="preserve"> Tracks operating hours, mileage, or stroke cycles. These readings are the primary triggers for automatic Preventative Maintenance (PM) schedules.</w:t>
      </w:r>
    </w:p>
    <w:p>
      <w:pPr>
        <w:pStyle w:val="ListBullet"/>
        <w:spacing w:after="60" w:line="276" w:lineRule="auto"/>
      </w:pPr>
      <w:r>
        <w:rPr>
          <w:b/>
        </w:rPr>
        <w:t>Warranty Tracking:</w:t>
      </w:r>
      <w:r>
        <w:t xml:space="preserve"> Active warranties are registered against assets. When raising parts requests, the system cross-references this data to identify components eligible for warranty claims, preventing unnecessary spend.</w:t>
      </w:r>
    </w:p>
    <w:tbl>
      <w:tblPr>
        <w:tblW w:type="auto" w:w="0"/>
        <w:jc w:val="center"/>
        <w:tblLook w:firstColumn="1" w:firstRow="1" w:lastColumn="0" w:lastRow="0" w:noHBand="0" w:noVBand="1" w:val="04A0"/>
      </w:tblPr>
      <w:tblGrid>
        <w:gridCol w:w="9360"/>
      </w:tblGrid>
      <w:tr>
        <w:tc>
          <w:tcPr>
            <w:tcW w:type="dxa" w:w="9360"/>
            <w:shd w:fill="E6FFFA"/>
            <w:tcMar>
              <w:top w:w="140" w:type="dxa"/>
              <w:bottom w:w="140" w:type="dxa"/>
              <w:left w:w="200" w:type="dxa"/>
              <w:right w:w="200" w:type="dxa"/>
            </w:tcMar>
            <w:tcBorders>
              <w:left w:val="single" w:sz="24" w:color="319795"/>
              <w:top w:val="none"/>
              <w:right w:val="none"/>
              <w:bottom w:val="none"/>
            </w:tcBorders>
          </w:tcPr>
          <w:p>
            <w:pPr>
              <w:spacing w:after="0"/>
            </w:pPr>
            <w:r>
              <w:rPr>
                <w:b/>
                <w:color w:val="22543D"/>
              </w:rPr>
              <w:t>TIP: OPERATIONAL COMPLIANCE</w:t>
              <w:br/>
            </w:r>
            <w:r>
              <w:rPr>
                <w:sz w:val="20"/>
              </w:rPr>
              <w:t>Always ensure meter readings are logged at the start and end of every shift. Delaying meter logs delays critical PM cycles, which historically increases catastrophic downtime events by 40%.</w:t>
            </w:r>
          </w:p>
        </w:tc>
      </w:tr>
    </w:tbl>
    <w:p>
      <w:pPr>
        <w:spacing w:after="200"/>
      </w:pPr>
    </w:p>
    <w:p>
      <w:pPr>
        <w:keepNext/>
        <w:spacing w:before="200" w:after="80"/>
      </w:pPr>
      <w:r>
        <w:rPr>
          <w:b/>
          <w:color w:val="4A5568"/>
          <w:sz w:val="28"/>
        </w:rPr>
        <w:t>2.2 Inventory &amp; Stock Control</w:t>
      </w:r>
    </w:p>
    <w:p>
      <w:r>
        <w:t>The inventory system manages spare parts and consumables across multiple warehouses. To optimize working capital while avoiding stockouts, the system utilizes three key inventory controls: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F7FAFC"/>
            <w:tcMar>
              <w:top w:w="100" w:type="dxa"/>
              <w:bottom w:w="100" w:type="dxa"/>
              <w:left w:w="150" w:type="dxa"/>
              <w:right w:w="150" w:type="dxa"/>
            </w:tcMar>
          </w:tcPr>
          <w:p>
            <w:pPr>
              <w:spacing w:after="0"/>
            </w:pPr>
            <w:r>
              <w:rPr>
                <w:b/>
                <w:color w:val="1A365D"/>
                <w:sz w:val="20"/>
              </w:rPr>
              <w:t>Control Term</w:t>
            </w:r>
          </w:p>
        </w:tc>
        <w:tc>
          <w:tcPr>
            <w:tcW w:type="dxa" w:w="3120"/>
            <w:shd w:fill="F7FAFC"/>
            <w:tcMar>
              <w:top w:w="100" w:type="dxa"/>
              <w:bottom w:w="100" w:type="dxa"/>
              <w:left w:w="150" w:type="dxa"/>
              <w:right w:w="150" w:type="dxa"/>
            </w:tcMar>
          </w:tcPr>
          <w:p>
            <w:pPr>
              <w:spacing w:after="0"/>
            </w:pPr>
            <w:r>
              <w:rPr>
                <w:b/>
                <w:color w:val="1A365D"/>
                <w:sz w:val="20"/>
              </w:rPr>
              <w:t>Definition</w:t>
            </w:r>
          </w:p>
        </w:tc>
        <w:tc>
          <w:tcPr>
            <w:tcW w:type="dxa" w:w="3120"/>
            <w:shd w:fill="F7FAFC"/>
            <w:tcMar>
              <w:top w:w="100" w:type="dxa"/>
              <w:bottom w:w="100" w:type="dxa"/>
              <w:left w:w="150" w:type="dxa"/>
              <w:right w:w="150" w:type="dxa"/>
            </w:tcMar>
          </w:tcPr>
          <w:p>
            <w:pPr>
              <w:spacing w:after="0"/>
            </w:pPr>
            <w:r>
              <w:rPr>
                <w:b/>
                <w:color w:val="1A365D"/>
                <w:sz w:val="20"/>
              </w:rPr>
              <w:t>System Action in AnchorPro</w:t>
            </w:r>
          </w:p>
        </w:tc>
      </w:tr>
      <w:tr>
        <w:tc>
          <w:tcPr>
            <w:tcW w:type="dxa" w:w="3120"/>
            <w:tcMar>
              <w:top w:w="100" w:type="dxa"/>
              <w:bottom w:w="100" w:type="dxa"/>
              <w:left w:w="150" w:type="dxa"/>
              <w:right w:w="150" w:type="dxa"/>
            </w:tcMar>
          </w:tcPr>
          <w:p>
            <w:pPr>
              <w:spacing w:after="0"/>
            </w:pPr>
            <w:r>
              <w:rPr>
                <w:b/>
                <w:sz w:val="19"/>
              </w:rPr>
              <w:t>Safety Stock</w:t>
            </w:r>
          </w:p>
        </w:tc>
        <w:tc>
          <w:tcPr>
            <w:tcW w:type="dxa" w:w="3120"/>
            <w:tcMar>
              <w:top w:w="100" w:type="dxa"/>
              <w:bottom w:w="100" w:type="dxa"/>
              <w:left w:w="150" w:type="dxa"/>
              <w:right w:w="150" w:type="dxa"/>
            </w:tcMar>
          </w:tcPr>
          <w:p>
            <w:pPr>
              <w:spacing w:after="0"/>
            </w:pPr>
            <w:r>
              <w:rPr>
                <w:sz w:val="19"/>
              </w:rPr>
              <w:t>The absolute minimum quantity of a part that must be held in the warehouse as a buffer against supply chain delays.</w:t>
            </w:r>
          </w:p>
        </w:tc>
        <w:tc>
          <w:tcPr>
            <w:tcW w:type="dxa" w:w="3120"/>
            <w:tcMar>
              <w:top w:w="100" w:type="dxa"/>
              <w:bottom w:w="100" w:type="dxa"/>
              <w:left w:w="150" w:type="dxa"/>
              <w:right w:w="150" w:type="dxa"/>
            </w:tcMar>
          </w:tcPr>
          <w:p>
            <w:pPr>
              <w:spacing w:after="0"/>
            </w:pPr>
            <w:r>
              <w:rPr>
                <w:sz w:val="19"/>
              </w:rPr>
              <w:t>Triggers a red critical warning badge on the inventory dashboard and flags the item for immediate reorder.</w:t>
            </w:r>
          </w:p>
        </w:tc>
      </w:tr>
      <w:tr>
        <w:tc>
          <w:tcPr>
            <w:tcW w:type="dxa" w:w="3120"/>
            <w:tcMar>
              <w:top w:w="100" w:type="dxa"/>
              <w:bottom w:w="100" w:type="dxa"/>
              <w:left w:w="150" w:type="dxa"/>
              <w:right w:w="150" w:type="dxa"/>
            </w:tcMar>
          </w:tcPr>
          <w:p>
            <w:pPr>
              <w:spacing w:after="0"/>
            </w:pPr>
            <w:r>
              <w:rPr>
                <w:b/>
                <w:sz w:val="19"/>
              </w:rPr>
              <w:t>Reorder Point</w:t>
            </w:r>
          </w:p>
        </w:tc>
        <w:tc>
          <w:tcPr>
            <w:tcW w:type="dxa" w:w="3120"/>
            <w:tcMar>
              <w:top w:w="100" w:type="dxa"/>
              <w:bottom w:w="100" w:type="dxa"/>
              <w:left w:w="150" w:type="dxa"/>
              <w:right w:w="150" w:type="dxa"/>
            </w:tcMar>
          </w:tcPr>
          <w:p>
            <w:pPr>
              <w:spacing w:after="0"/>
            </w:pPr>
            <w:r>
              <w:rPr>
                <w:sz w:val="19"/>
              </w:rPr>
              <w:t>The inventory threshold level that account lead times and daily usage to trigger replenishment.</w:t>
            </w:r>
          </w:p>
        </w:tc>
        <w:tc>
          <w:tcPr>
            <w:tcW w:type="dxa" w:w="3120"/>
            <w:tcMar>
              <w:top w:w="100" w:type="dxa"/>
              <w:bottom w:w="100" w:type="dxa"/>
              <w:left w:w="150" w:type="dxa"/>
              <w:right w:w="150" w:type="dxa"/>
            </w:tcMar>
          </w:tcPr>
          <w:p>
            <w:pPr>
              <w:spacing w:after="0"/>
            </w:pPr>
            <w:r>
              <w:rPr>
                <w:sz w:val="19"/>
              </w:rPr>
              <w:t>Procurement engine automatically compiles a draft Purchase Order (PO) for the default supplier when stock hits this level.</w:t>
            </w:r>
          </w:p>
        </w:tc>
      </w:tr>
      <w:tr>
        <w:tc>
          <w:tcPr>
            <w:tcW w:type="dxa" w:w="3120"/>
            <w:tcMar>
              <w:top w:w="100" w:type="dxa"/>
              <w:bottom w:w="100" w:type="dxa"/>
              <w:left w:w="150" w:type="dxa"/>
              <w:right w:w="150" w:type="dxa"/>
            </w:tcMar>
          </w:tcPr>
          <w:p>
            <w:pPr>
              <w:spacing w:after="0"/>
            </w:pPr>
            <w:r>
              <w:rPr>
                <w:b/>
                <w:sz w:val="19"/>
              </w:rPr>
              <w:t>Direct-to-Job Parts</w:t>
            </w:r>
          </w:p>
        </w:tc>
        <w:tc>
          <w:tcPr>
            <w:tcW w:type="dxa" w:w="3120"/>
            <w:tcMar>
              <w:top w:w="100" w:type="dxa"/>
              <w:bottom w:w="100" w:type="dxa"/>
              <w:left w:w="150" w:type="dxa"/>
              <w:right w:w="150" w:type="dxa"/>
            </w:tcMar>
          </w:tcPr>
          <w:p>
            <w:pPr>
              <w:spacing w:after="0"/>
            </w:pPr>
            <w:r>
              <w:rPr>
                <w:sz w:val="19"/>
              </w:rPr>
              <w:t>High-value, non-stock parts ordered specifically for one job card (e.g. a custom hydraulic motor).</w:t>
            </w:r>
          </w:p>
        </w:tc>
        <w:tc>
          <w:tcPr>
            <w:tcW w:type="dxa" w:w="3120"/>
            <w:tcMar>
              <w:top w:w="100" w:type="dxa"/>
              <w:bottom w:w="100" w:type="dxa"/>
              <w:left w:w="150" w:type="dxa"/>
              <w:right w:w="150" w:type="dxa"/>
            </w:tcMar>
          </w:tcPr>
          <w:p>
            <w:pPr>
              <w:spacing w:after="0"/>
            </w:pPr>
            <w:r>
              <w:rPr>
                <w:sz w:val="19"/>
              </w:rPr>
              <w:t>Bypasses inventory asset valuation. The cost flows directly into the Job Card expenses upon receipt.</w:t>
            </w:r>
          </w:p>
        </w:tc>
      </w:tr>
    </w:tbl>
    <w:p>
      <w:pPr>
        <w:spacing w:after="200"/>
      </w:pPr>
    </w:p>
    <w:p>
      <w:pPr>
        <w:keepNext/>
        <w:spacing w:before="200" w:after="80"/>
      </w:pPr>
      <w:r>
        <w:rPr>
          <w:b/>
          <w:color w:val="4A5568"/>
          <w:sz w:val="28"/>
        </w:rPr>
        <w:t>2.3 Tools Registry &amp; Control</w:t>
      </w:r>
    </w:p>
    <w:p>
      <w:r>
        <w:t>Specialized tools (e.g. diagnostic laptops, heavy torque wrenches, safety harnesses) represent significant capital expenditure and must be strictly tracked. The tool checkout lifecycle ensures accountability:</w:t>
      </w:r>
    </w:p>
    <w:p>
      <w:pPr>
        <w:pStyle w:val="ListBullet"/>
        <w:spacing w:after="60" w:line="276" w:lineRule="auto"/>
      </w:pPr>
      <w:r>
        <w:rPr>
          <w:b/>
        </w:rPr>
        <w:t>1. Request:</w:t>
      </w:r>
      <w:r>
        <w:t xml:space="preserve"> The technician requests the tool when reviewing the Job Card requirements.</w:t>
      </w:r>
    </w:p>
    <w:p>
      <w:pPr>
        <w:pStyle w:val="ListBullet"/>
        <w:spacing w:after="60" w:line="276" w:lineRule="auto"/>
      </w:pPr>
      <w:r>
        <w:rPr>
          <w:b/>
        </w:rPr>
        <w:t>2. Checkout:</w:t>
      </w:r>
      <w:r>
        <w:t xml:space="preserve"> The storeman scans out the tool, changing its state in the database from 'Available' to 'Checked Out'. The system locks the tool to that specific technician and Job Card ID.</w:t>
      </w:r>
    </w:p>
    <w:p>
      <w:pPr>
        <w:pStyle w:val="ListBullet"/>
        <w:spacing w:after="60" w:line="276" w:lineRule="auto"/>
      </w:pPr>
      <w:r>
        <w:rPr>
          <w:b/>
        </w:rPr>
        <w:t>3. Calibration Watch:</w:t>
      </w:r>
      <w:r>
        <w:t xml:space="preserve"> The system tracks the operating hours or cycles of calibrated tools. If a tool exceeds its calibration limit, it is locked and marked 'Awaiting Calibration'—preventing checkouts.</w:t>
      </w:r>
    </w:p>
    <w:p>
      <w:pPr>
        <w:pStyle w:val="ListBullet"/>
        <w:spacing w:after="60" w:line="276" w:lineRule="auto"/>
      </w:pPr>
      <w:r>
        <w:rPr>
          <w:b/>
        </w:rPr>
        <w:t>4. Return:</w:t>
      </w:r>
      <w:r>
        <w:t xml:space="preserve"> Upon job completion, the storeman inspects the tool for damage and registers its return, releasing the technician's liability.</w:t>
      </w:r>
    </w:p>
    <w:p>
      <w:pPr>
        <w:spacing w:after="200"/>
      </w:pPr>
    </w:p>
    <w:p>
      <w:pPr>
        <w:keepNext/>
        <w:spacing w:before="200" w:after="80"/>
      </w:pPr>
      <w:r>
        <w:rPr>
          <w:b/>
          <w:color w:val="4A5568"/>
          <w:sz w:val="28"/>
        </w:rPr>
        <w:t>2.4 Procurement &amp; Purchase Order (PO) Approvals</w:t>
      </w:r>
    </w:p>
    <w:p>
      <w:r>
        <w:t>To maintain rigorous financial control, any external expenditure must follow the Purchase Order approval workflow. Every PO is categorized into one of three types: Inventory Replenishment, Direct Purchase (for jobs), or Subcontracting (for jobs).</w:t>
      </w:r>
    </w:p>
    <w:tbl>
      <w:tblPr>
        <w:tblW w:type="auto" w:w="0"/>
        <w:jc w:val="center"/>
        <w:tblLook w:firstColumn="1" w:firstRow="1" w:lastColumn="0" w:lastRow="0" w:noHBand="0" w:noVBand="1" w:val="04A0"/>
      </w:tblPr>
      <w:tblGrid>
        <w:gridCol w:w="9360"/>
      </w:tblGrid>
      <w:tr>
        <w:tc>
          <w:tcPr>
            <w:tcW w:type="dxa" w:w="9360"/>
            <w:shd w:fill="FFFDF5"/>
            <w:tcMar>
              <w:top w:w="140" w:type="dxa"/>
              <w:bottom w:w="140" w:type="dxa"/>
              <w:left w:w="200" w:type="dxa"/>
              <w:right w:w="200" w:type="dxa"/>
            </w:tcMar>
            <w:tcBorders>
              <w:left w:val="single" w:sz="24" w:color="D69E2E"/>
              <w:top w:val="none"/>
              <w:right w:val="none"/>
              <w:bottom w:val="none"/>
            </w:tcBorders>
          </w:tcPr>
          <w:p>
            <w:pPr>
              <w:spacing w:after="0"/>
            </w:pPr>
            <w:r>
              <w:rPr>
                <w:b/>
                <w:color w:val="744210"/>
              </w:rPr>
              <w:t>IMPORTANT: ROLE-BASED ACCESS CONTROL (RBAC)</w:t>
              <w:br/>
            </w:r>
            <w:r>
              <w:rPr>
                <w:sz w:val="20"/>
              </w:rPr>
              <w:t>Only users with the 'Admin' or 'Finance' role can approve or reject Purchase Orders. Procurement officers and storemen can only create and submit draft POs. Any rejected PO is returned to draft state, requiring the purchasing team to review the rejection reason and edit the items.</w:t>
            </w:r>
          </w:p>
        </w:tc>
      </w:tr>
    </w:tbl>
    <w:p>
      <w:pPr>
        <w:spacing w:after="200"/>
      </w:pPr>
    </w:p>
    <w:p>
      <w:pPr>
        <w:keepNext/>
        <w:spacing w:before="360" w:after="120"/>
      </w:pPr>
      <w:r>
        <w:rPr>
          <w:b/>
          <w:color w:val="1A365D"/>
          <w:sz w:val="36"/>
        </w:rPr>
        <w:t>3. Operations &amp; Work Planning</w:t>
      </w:r>
    </w:p>
    <w:p>
      <w:pPr>
        <w:keepNext/>
        <w:spacing w:before="200" w:after="80"/>
      </w:pPr>
      <w:r>
        <w:rPr>
          <w:b/>
          <w:color w:val="4A5568"/>
          <w:sz w:val="28"/>
        </w:rPr>
        <w:t>3.1 The Job Card Lifecycle</w:t>
      </w:r>
    </w:p>
    <w:p>
      <w:r>
        <w:t>The Job Card is the central unit of execution in AnchorPro. It coordinates technicians, assets, parts, safety permits, and labor hours. The workflow progresses as follows:</w:t>
      </w:r>
    </w:p>
    <w:p>
      <w:pPr>
        <w:pStyle w:val="ListBullet"/>
        <w:spacing w:after="60" w:line="276" w:lineRule="auto"/>
      </w:pPr>
      <w:r>
        <w:rPr>
          <w:b/>
        </w:rPr>
        <w:t>1. Draft / Scheduled:</w:t>
      </w:r>
      <w:r>
        <w:t xml:space="preserve"> The job is created (either automatically from a PM meter trigger or manually by dispatch) and scheduled on the Planning Board.</w:t>
      </w:r>
    </w:p>
    <w:p>
      <w:pPr>
        <w:pStyle w:val="ListBullet"/>
        <w:spacing w:after="60" w:line="276" w:lineRule="auto"/>
      </w:pPr>
      <w:r>
        <w:rPr>
          <w:b/>
        </w:rPr>
        <w:t>2. Dispatched:</w:t>
      </w:r>
      <w:r>
        <w:t xml:space="preserve"> The dispatcher assigns a qualified technician. The job appears in the technician's 'My Assignments' tab.</w:t>
      </w:r>
    </w:p>
    <w:p>
      <w:pPr>
        <w:pStyle w:val="ListBullet"/>
        <w:spacing w:after="60" w:line="276" w:lineRule="auto"/>
      </w:pPr>
      <w:r>
        <w:rPr>
          <w:b/>
        </w:rPr>
        <w:t>3. Pre-Start Safety Check:</w:t>
      </w:r>
      <w:r>
        <w:t xml:space="preserve"> The technician completes the required safety checklist. If high-risk, a Permit to Work (PTW) must be approved before proceeding.</w:t>
      </w:r>
    </w:p>
    <w:p>
      <w:pPr>
        <w:pStyle w:val="ListBullet"/>
        <w:spacing w:after="60" w:line="276" w:lineRule="auto"/>
      </w:pPr>
      <w:r>
        <w:rPr>
          <w:b/>
        </w:rPr>
        <w:t>4. In Progress:</w:t>
      </w:r>
      <w:r>
        <w:t xml:space="preserve"> The technician clicks 'Start Job'. The system starts tracking actual labor hours in the background.</w:t>
      </w:r>
    </w:p>
    <w:p>
      <w:pPr>
        <w:pStyle w:val="ListBullet"/>
        <w:spacing w:after="60" w:line="276" w:lineRule="auto"/>
      </w:pPr>
      <w:r>
        <w:rPr>
          <w:b/>
        </w:rPr>
        <w:t>5. Material Consumption:</w:t>
      </w:r>
      <w:r>
        <w:t xml:space="preserve"> Spare parts are scanned and checked out from inventory, linking their costs directly to the job card.</w:t>
      </w:r>
    </w:p>
    <w:p>
      <w:pPr>
        <w:pStyle w:val="ListBullet"/>
        <w:spacing w:after="60" w:line="276" w:lineRule="auto"/>
      </w:pPr>
      <w:r>
        <w:rPr>
          <w:b/>
        </w:rPr>
        <w:t>6. Technical Log &amp; Completion:</w:t>
      </w:r>
      <w:r>
        <w:t xml:space="preserve"> The technician logs repair notes, records the failure cause, checks in all tools, and marks the job as 'Completed'. The labor time is logged to the Timecard.</w:t>
      </w:r>
    </w:p>
    <w:p>
      <w:pPr>
        <w:spacing w:after="200"/>
      </w:pPr>
    </w:p>
    <w:p>
      <w:pPr>
        <w:keepNext/>
        <w:spacing w:before="200" w:after="80"/>
      </w:pPr>
      <w:r>
        <w:rPr>
          <w:b/>
          <w:color w:val="4A5568"/>
          <w:sz w:val="28"/>
        </w:rPr>
        <w:t>3.2 Downtime &amp; Reliability KPIs</w:t>
      </w:r>
    </w:p>
    <w:p>
      <w:r>
        <w:t>When an asset suffers a breakdown, a downtime event is logged. The system uses these logs to calculate key reliability metrics which are displayed on the Performance Dashboard:</w:t>
      </w:r>
    </w:p>
    <w:p>
      <w:r>
        <w:t>• Mean Time Between Failures (MTBF): Measures equipment reliability. High MTBF indicates high asset availability.</w:t>
        <w:br/>
        <w:t>• Mean Time To Repair (MTTR): Measures maintenance efficiency. Lower MTTR indicates fast response and resolution.</w:t>
      </w:r>
    </w:p>
    <w:p>
      <w:pPr>
        <w:spacing w:after="200"/>
      </w:pPr>
    </w:p>
    <w:p>
      <w:pPr>
        <w:keepNext/>
        <w:spacing w:before="360" w:after="120"/>
      </w:pPr>
      <w:r>
        <w:rPr>
          <w:b/>
          <w:color w:val="1A365D"/>
          <w:sz w:val="36"/>
        </w:rPr>
        <w:t>4. Standard Operating Procedures (SOPs)</w:t>
      </w:r>
    </w:p>
    <w:p>
      <w:pPr>
        <w:keepNext/>
        <w:spacing w:before="200" w:after="80"/>
      </w:pPr>
      <w:r>
        <w:rPr>
          <w:b/>
          <w:color w:val="4A5568"/>
          <w:sz w:val="24"/>
        </w:rPr>
        <w:t>SOP 1: Unplanned Outage &amp; Emergency Dispatch</w:t>
      </w:r>
    </w:p>
    <w:p>
      <w:r>
        <w:t>1. Outage Intake: Go to Downtime Log -&gt; Click 'Report Outage'. Select the failed Asset, enter the Failure Time, and select the Failure Cause (e.g. Mechanical breakdown).</w:t>
        <w:br/>
        <w:t>2. Emergency Job Creation: Toggle 'Generate Emergency Job Card'. The system automatically creates a high-priority Job Card pre-populated with the asset and downtime details.</w:t>
        <w:br/>
        <w:t>3. Smart Dispatch: Open the Planning Board. Drag the emergency job onto an available technician who holds the required certifications for that asset type.</w:t>
        <w:br/>
        <w:t>4. Resolution: Once the technician completes the repair and closes the Job Card, the downtime log automatically registers the end time, calculates the outage duration, and updates the asset's MTTR.</w:t>
      </w:r>
    </w:p>
    <w:p>
      <w:pPr>
        <w:keepNext/>
        <w:spacing w:before="280" w:after="80"/>
      </w:pPr>
      <w:r>
        <w:rPr>
          <w:b/>
          <w:color w:val="4A5568"/>
          <w:sz w:val="24"/>
        </w:rPr>
        <w:t>SOP 2: Requesting &amp; Approving High-Value Resources</w:t>
      </w:r>
    </w:p>
    <w:p>
      <w:r>
        <w:t>AnchorPro distinguishes between purchasing spare parts and hiring external services:</w:t>
        <w:br/>
        <w:br/>
        <w:t>Option A: Subcontracted Services (Raised from the Job Card)</w:t>
        <w:br/>
        <w:t>1. Open the active Job Card -&gt; Click the 'Subcontract' button.</w:t>
        <w:br/>
        <w:t>2. Select the Supplier, enter the service description, and specify the estimated cost. Click 'Submit' to automatically generate a Subcontracting PO (type 2) linked to the Job Card.</w:t>
        <w:br/>
        <w:t>3. Go to Procurement -&gt; Find the PO and click 'Send to Finance'.</w:t>
        <w:br/>
        <w:br/>
        <w:t>Option B: Job-Specific Parts (Raised from the Procurement Module)</w:t>
        <w:br/>
        <w:t>1. Go to the Procurement module -&gt; Click 'Raise PO'. Set type to 'Direct Purchase' (type 1).</w:t>
        <w:br/>
        <w:t>2. Select the target Job Card from the 'Linked Job' dropdown to link the financial cost.</w:t>
        <w:br/>
        <w:t>3. Add the part line items, unit costs, and supplier. Click 'Draft PO', then click 'Send to Finance'.</w:t>
        <w:br/>
        <w:br/>
        <w:t>Finance Approval Process:</w:t>
        <w:br/>
        <w:t>1. The Finance Officer logs in and opens the Finance Dashboard -&gt; 'PO Approvals' tab.</w:t>
        <w:br/>
        <w:t>2. To Approve: Click 'Approve'. The PO moves to 'Approved' state. The supplier can now be engaged, and the storeman can receive goods.</w:t>
        <w:br/>
        <w:t>3. To Reject: Click 'Reject', enter the reason in the modal, and confirm. The PO returns to 'Rejected' status on the Procurement page, displaying the rejection reason.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