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Arial" w:hAnsi="Arial"/>
          <w:color w:val="808080"/>
          <w:sz w:val="28"/>
        </w:rPr>
        <w:t>Anchor Pro Corporate Operations Manual</w:t>
      </w:r>
    </w:p>
    <w:p>
      <w:pPr>
        <w:spacing w:after="480"/>
      </w:pPr>
      <w:r>
        <w:rPr>
          <w:rFonts w:ascii="Arial" w:hAnsi="Arial"/>
          <w:b/>
          <w:color w:val="0F2240"/>
          <w:sz w:val="52"/>
        </w:rPr>
        <w:t>Enterprise Asset Mgt (EAM) Module</w:t>
      </w:r>
    </w:p>
    <w:p>
      <w:pPr>
        <w:spacing w:after="48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Asset Registry &amp; Hierarchy</w:t>
      </w:r>
    </w:p>
    <w:p>
      <w:pPr>
        <w:spacing w:after="200"/>
      </w:pPr>
      <w:r>
        <w:rPr>
          <w:rFonts w:ascii="Arial" w:hAnsi="Arial"/>
          <w:sz w:val="22"/>
        </w:rPr>
        <w:t>The Enterprise Asset Management (EAM) registry logs all corporate, physical, or client assets, structuring them in hierarchical relationships.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Asset Identity: Track Model numbers, serial numbers, manufacture date, and vendor details.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Asset Status: Tracks Active, Downtime, Disposed, or Under Maintenance states.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Criticality Class: Critical, High, Medium, or Low (determines preventive scheduling priorities).</w:t>
      </w:r>
    </w:p>
    <w:p>
      <w:pPr>
        <w:spacing w:after="16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Criticality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Operational Meaning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Scheduling Priority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 - Critical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Loss causes immediate site production shutdown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Emergency dispatch, LOTO mandatory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 - 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Reduces production capability but keeps site operational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Schedule within 24 hours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 - 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Non-productive support assets (e.g. utility vehicles)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Schedule on weekly PM run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 - 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Office fittings, non-industrial equipment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Schedule as convenient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Inventory, Parts &amp; Warehousing Control</w:t>
      </w:r>
    </w:p>
    <w:p>
      <w:pPr>
        <w:spacing w:after="200"/>
      </w:pPr>
      <w:r>
        <w:rPr>
          <w:rFonts w:ascii="Arial" w:hAnsi="Arial"/>
          <w:sz w:val="22"/>
        </w:rPr>
        <w:t>Inventory controls track parts stock levels, minimum thresholds, and bins.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Stock Levels: Tracks Quantity on Hand, Quantity Reserved (for open jobs), and Reorder levels.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Low Stock Alerts: Visual warnings when stock levels fall below thresholds.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Parts Issue: Issue parts directly to a job card to track cost allocation.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Tools Registry &amp; Loan Operations</w:t>
      </w:r>
    </w:p>
    <w:p>
      <w:pPr>
        <w:spacing w:after="200"/>
      </w:pPr>
      <w:r>
        <w:rPr>
          <w:rFonts w:ascii="Arial" w:hAnsi="Arial"/>
          <w:sz w:val="22"/>
        </w:rPr>
        <w:t>Ensures specialized tooling is kept calibrated, tracked, and returned.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Tool Log: Register unique tools (e.g. alignment rigs, diagnostic PCs).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Loan Registry: Log which technician has borrowed a tool, date taken, and expected return.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Procurement Workflow (PR to PO to GRN)</w:t>
      </w:r>
    </w:p>
    <w:p>
      <w:pPr>
        <w:spacing w:after="200"/>
      </w:pPr>
      <w:r>
        <w:rPr>
          <w:rFonts w:ascii="Arial" w:hAnsi="Arial"/>
          <w:sz w:val="22"/>
        </w:rPr>
        <w:t>The supply chain process connects material requests to final stock replenishment.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Purchase Requisition (PR): Raised by storemen or supervisors when parts hit reorder levels.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Purchase Order (PO): Approved PRs convert to POs sent to suppliers.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Goods Received Note (GRN): Verify delivered quantities, update inventory levels, and log vendor bills.</w:t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