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Arial" w:hAnsi="Arial"/>
          <w:color w:val="808080"/>
          <w:sz w:val="28"/>
        </w:rPr>
        <w:t>Anchor Pro Corporate Operations Manual</w:t>
      </w:r>
    </w:p>
    <w:p>
      <w:pPr>
        <w:spacing w:after="480"/>
      </w:pPr>
      <w:r>
        <w:rPr>
          <w:rFonts w:ascii="Arial" w:hAnsi="Arial"/>
          <w:b/>
          <w:color w:val="0F2240"/>
          <w:sz w:val="52"/>
        </w:rPr>
        <w:t>Finance Module</w:t>
      </w:r>
    </w:p>
    <w:p>
      <w:pPr>
        <w:spacing w:after="48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Ledger &amp; Cashbook Management</w:t>
      </w:r>
    </w:p>
    <w:p>
      <w:pPr>
        <w:spacing w:after="200"/>
      </w:pPr>
      <w:r>
        <w:rPr>
          <w:rFonts w:ascii="Arial" w:hAnsi="Arial"/>
          <w:sz w:val="22"/>
        </w:rPr>
        <w:t>The financial module operates as a real-time cashbook, tracking cash-in (billing collections) and cash-out (expenses, vendor payments, payroll) to calculate net cash flow and P&amp;L balances.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Automated Cash-In: Payment registration on client invoices automatically adds cashbook general ledger entries.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Automated Cash-Out: Finalising and paying payroll runs creates an expense ledger entry for Gross Pay + Employer NAPSA.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Manual Expenses: Record office operations expenses, rent, and utility outflows directly into the cashbook.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Transaction Type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Trigger Source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Ledger Impact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Invoice Payment Received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Invoice status changes to Paid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Debit (Cash-In) / Revenue Increase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Payroll Run Paid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Payroll marked as Paid in HR module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Credit (Cash-Out) / Expense Increase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Vendor Bill Payment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 invoice matched and paid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Credit (Cash-Out) / Expense Increase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Manual Petty Cash Expense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Manual ledger entry added by Finance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Credit (Cash-Out) / Petty Cash Decrease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Invoicing &amp; Billing Lifecycle</w:t>
      </w:r>
    </w:p>
    <w:p>
      <w:pPr>
        <w:spacing w:after="200"/>
      </w:pPr>
      <w:r>
        <w:rPr>
          <w:rFonts w:ascii="Arial" w:hAnsi="Arial"/>
          <w:sz w:val="22"/>
        </w:rPr>
        <w:t>Client billing is generated directly from completed job cards, matching the actual cost of labor, parts, and subcontractor markups.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SLA Billing: Generate monthly retainer SLA invoices or job-card-based quotations.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Aging Receivables: The receivables board displays Unpaid, Partially Paid, and Paid invoices with red warning indicators for overdue accounts.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color w:val="0F2240"/>
          <w:sz w:val="36"/>
        </w:rPr>
        <w:t>Purchase Order &amp; Quotation Finance Approvals</w:t>
      </w:r>
    </w:p>
    <w:p>
      <w:pPr>
        <w:spacing w:after="200"/>
      </w:pPr>
      <w:r>
        <w:rPr>
          <w:rFonts w:ascii="Arial" w:hAnsi="Arial"/>
          <w:sz w:val="22"/>
        </w:rPr>
        <w:t>To maintain financial controls, transactions require multi-stage authorization.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PO Approvals: Purchase orders exceeding baseline thresholds require formal approval or rejection with documented reasons.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Quotation Review: Quoted prices are locked until approved by the finance team before client dispatch.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