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color w:val="808080"/>
          <w:sz w:val="28"/>
        </w:rPr>
        <w:t>Anchor Pro Corporate Operations Manual</w:t>
      </w:r>
    </w:p>
    <w:p>
      <w:pPr>
        <w:spacing w:after="480"/>
      </w:pPr>
      <w:r>
        <w:rPr>
          <w:rFonts w:ascii="Arial" w:hAnsi="Arial"/>
          <w:b/>
          <w:color w:val="0F2240"/>
          <w:sz w:val="52"/>
        </w:rPr>
        <w:t>Sales &amp; Customer Module</w:t>
      </w:r>
    </w:p>
    <w:p>
      <w:pPr>
        <w:spacing w:after="48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CRM &amp; Customer Profiles Management</w:t>
      </w:r>
    </w:p>
    <w:p>
      <w:pPr>
        <w:spacing w:after="200"/>
      </w:pPr>
      <w:r>
        <w:rPr>
          <w:rFonts w:ascii="Arial" w:hAnsi="Arial"/>
          <w:sz w:val="22"/>
        </w:rPr>
        <w:t>The CRM sub-module registers customer organizations, contact persons, physical addresses, and active billing arrangements.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Tenant Accounts: Multiple billing contacts can be associated with a single client organization.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Address Validation: Store dispatch and physical site addresses for technicians.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Account Property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Standard Use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Client Organization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The parent legal entity billed for work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Invoice headers &amp; SLA contracts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Billing Address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Physical/mailing address for financial documentation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Tax invoice generation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Contact Person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Primary representative (Email / Phone)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Quotation approvals, job reports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SLA Retainer Rate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Monthly baseline billing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Automated recurring billing generation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Quotations &amp; Work Scope Approvals</w:t>
      </w:r>
    </w:p>
    <w:p>
      <w:pPr>
        <w:spacing w:after="200"/>
      </w:pPr>
      <w:r>
        <w:rPr>
          <w:rFonts w:ascii="Arial" w:hAnsi="Arial"/>
          <w:sz w:val="22"/>
        </w:rPr>
        <w:t>Before work begins, planners generate detailed quotations for customer review.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Cost Estimations: Pulls parts costs from inventory and applies default labor billing rates.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Client Sign-off: Tracks quotations through Draft, Sent, Accepted, and Rejected stages.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Job Card Launch: Accepting a quotation automatically unlocks the scheduling board for the associated job card.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Client Contracts &amp; SLA Retainers</w:t>
      </w:r>
    </w:p>
    <w:p>
      <w:pPr>
        <w:spacing w:after="200"/>
      </w:pPr>
      <w:r>
        <w:rPr>
          <w:rFonts w:ascii="Arial" w:hAnsi="Arial"/>
          <w:sz w:val="22"/>
        </w:rPr>
        <w:t>Define binding Service Level Agreements (SLAs) with customers.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Monthly SLAs: Set monthly billing retainers, standard response times, and target MTTR.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SLA Compliance Auditing: System checks actual response times against agreed SLAs.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