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80" w:line="278" w:lineRule="auto"/>
        <w:jc w:val="left"/>
      </w:pPr>
      <w:r>
        <w:rPr>
          <w:rFonts w:ascii="Aptos" w:hAnsi="Aptos"/>
          <w:b w:val="0"/>
          <w:i w:val="0"/>
          <w:color w:val="102534"/>
          <w:sz w:val="21"/>
        </w:rPr>
      </w:r>
    </w:p>
    <w:p>
      <w:pPr>
        <w:keepNext w:val="0"/>
        <w:spacing w:before="0" w:after="180" w:line="278" w:lineRule="auto"/>
        <w:jc w:val="left"/>
      </w:pPr>
      <w:r>
        <w:rPr>
          <w:rFonts w:ascii="Aptos" w:hAnsi="Aptos"/>
          <w:b w:val="0"/>
          <w:i w:val="0"/>
          <w:color w:val="102534"/>
          <w:sz w:val="21"/>
        </w:rPr>
      </w:r>
    </w:p>
    <w:p>
      <w:pPr>
        <w:keepNext w:val="0"/>
        <w:spacing w:before="0" w:after="180" w:line="278" w:lineRule="auto"/>
        <w:jc w:val="left"/>
      </w:pPr>
      <w:r>
        <w:rPr>
          <w:rFonts w:ascii="Aptos" w:hAnsi="Aptos"/>
          <w:b w:val="0"/>
          <w:i w:val="0"/>
          <w:color w:val="102534"/>
          <w:sz w:val="21"/>
        </w:rPr>
      </w:r>
    </w:p>
    <w:p>
      <w:pPr>
        <w:keepNext w:val="0"/>
        <w:spacing w:before="0" w:after="180" w:line="278" w:lineRule="auto"/>
        <w:jc w:val="left"/>
      </w:pPr>
      <w:r>
        <w:rPr>
          <w:rFonts w:ascii="Aptos" w:hAnsi="Aptos"/>
          <w:b w:val="0"/>
          <w:i w:val="0"/>
          <w:color w:val="102534"/>
          <w:sz w:val="21"/>
        </w:rPr>
      </w:r>
    </w:p>
    <w:p>
      <w:pPr>
        <w:keepNext w:val="0"/>
        <w:spacing w:before="0" w:after="180" w:line="278" w:lineRule="auto"/>
        <w:jc w:val="left"/>
      </w:pPr>
      <w:r>
        <w:rPr>
          <w:rFonts w:ascii="Aptos" w:hAnsi="Aptos"/>
          <w:b w:val="0"/>
          <w:i w:val="0"/>
          <w:color w:val="102534"/>
          <w:sz w:val="21"/>
        </w:rPr>
      </w:r>
    </w:p>
    <w:p>
      <w:pPr>
        <w:keepNext w:val="0"/>
        <w:spacing w:before="0" w:after="360" w:line="278" w:lineRule="auto"/>
        <w:jc w:val="center"/>
      </w:pPr>
      <w:r>
        <w:rPr>
          <w:rFonts w:ascii="Aptos" w:hAnsi="Aptos"/>
          <w:b/>
          <w:i w:val="0"/>
          <w:color w:val="36C5F0"/>
          <w:sz w:val="26"/>
        </w:rPr>
        <w:t>GRIDPULSE</w:t>
      </w:r>
    </w:p>
    <w:p>
      <w:pPr>
        <w:keepNext w:val="0"/>
        <w:spacing w:before="0" w:after="320" w:line="240" w:lineRule="auto"/>
        <w:jc w:val="center"/>
      </w:pPr>
      <w:r>
        <w:rPr>
          <w:rFonts w:ascii="Aptos" w:hAnsi="Aptos"/>
          <w:b/>
          <w:i w:val="0"/>
          <w:color w:val="071A2B"/>
          <w:sz w:val="60"/>
        </w:rPr>
        <w:t>Evidence-governed grid intelligence</w:t>
        <w:br/>
        <w:t>for data-centre development</w:t>
      </w:r>
    </w:p>
    <w:p>
      <w:pPr>
        <w:keepNext w:val="0"/>
        <w:spacing w:before="0" w:after="560" w:line="278" w:lineRule="auto"/>
        <w:jc w:val="center"/>
      </w:pPr>
      <w:r>
        <w:rPr>
          <w:rFonts w:ascii="Aptos" w:hAnsi="Aptos"/>
          <w:b w:val="0"/>
          <w:i w:val="0"/>
          <w:color w:val="5D7385"/>
          <w:sz w:val="28"/>
        </w:rPr>
        <w:t>Technical white paper and development roadmap</w:t>
      </w:r>
    </w:p>
    <w:p>
      <w:pPr>
        <w:keepNext w:val="0"/>
        <w:spacing w:before="0" w:after="720" w:line="300" w:lineRule="auto"/>
        <w:jc w:val="center"/>
      </w:pPr>
      <w:r>
        <w:rPr>
          <w:rFonts w:ascii="Aptos" w:hAnsi="Aptos"/>
          <w:b w:val="0"/>
          <w:i w:val="0"/>
          <w:color w:val="102534"/>
          <w:sz w:val="24"/>
        </w:rPr>
        <w:t>Turning fragmented public grid evidence, chronological backtesting and synthetic flexibility studies into a defensible pre-application decision system.</w:t>
      </w:r>
    </w:p>
    <w:p>
      <w:pPr>
        <w:keepNext w:val="0"/>
        <w:spacing w:before="0" w:after="100" w:line="278" w:lineRule="auto"/>
        <w:jc w:val="center"/>
      </w:pPr>
      <w:r>
        <w:rPr>
          <w:rFonts w:ascii="Aptos" w:hAnsi="Aptos"/>
          <w:b/>
          <w:i w:val="0"/>
          <w:color w:val="5D7385"/>
          <w:sz w:val="20"/>
        </w:rPr>
        <w:t>Prepared for investor discussion  ·  August 2026</w:t>
      </w:r>
    </w:p>
    <w:p>
      <w:pPr>
        <w:keepNext w:val="0"/>
        <w:spacing w:before="0" w:after="700" w:line="278" w:lineRule="auto"/>
        <w:jc w:val="center"/>
      </w:pPr>
      <w:r>
        <w:rPr>
          <w:rFonts w:ascii="Aptos" w:hAnsi="Aptos"/>
          <w:b w:val="0"/>
          <w:i w:val="0"/>
          <w:color w:val="5D7385"/>
          <w:sz w:val="20"/>
        </w:rPr>
        <w:t>Sina Khedmati  ·  CTO, GridPulse</w:t>
      </w:r>
    </w:p>
    <w:tbl>
      <w:tblPr>
        <w:tblW w:type="dxa" w:w="9360"/>
        <w:jc w:val="center"/>
        <w:tblLayout w:type="fixed"/>
        <w:tblLook w:firstColumn="1" w:firstRow="1" w:lastColumn="0" w:lastRow="0" w:noHBand="0" w:noVBand="1" w:val="04A0"/>
        <w:tblLayout w:type="fixed"/>
      </w:tblPr>
      <w:tblGrid>
        <w:gridCol w:w="9360"/>
      </w:tblGrid>
      <w:tr>
        <w:tc>
          <w:tcPr>
            <w:tcW w:type="dxa" w:w="9360"/>
            <w:tcMar>
              <w:top w:w="100" w:type="dxa"/>
              <w:start w:w="120" w:type="dxa"/>
              <w:bottom w:w="100" w:type="dxa"/>
              <w:end w:w="120" w:type="dxa"/>
            </w:tcMar>
            <w:vAlign w:val="center"/>
            <w:shd w:fill="EAF3F8"/>
          </w:tcPr>
          <w:p>
            <w:pPr>
              <w:spacing w:after="60"/>
            </w:pPr>
            <w:r>
              <w:rPr>
                <w:rFonts w:ascii="Aptos" w:hAnsi="Aptos"/>
                <w:b/>
                <w:i w:val="0"/>
                <w:color w:val="F2BA33"/>
                <w:sz w:val="16"/>
              </w:rPr>
              <w:t>CORE BOUNDARY</w:t>
            </w:r>
          </w:p>
          <w:p>
            <w:pPr>
              <w:spacing w:after="80"/>
            </w:pPr>
            <w:r>
              <w:rPr>
                <w:rFonts w:ascii="Aptos" w:hAnsi="Aptos"/>
                <w:b/>
                <w:i w:val="0"/>
                <w:color w:val="071A2B"/>
                <w:sz w:val="26"/>
              </w:rPr>
              <w:t>GridPulse does not claim public maps reveal free capacity.</w:t>
            </w:r>
          </w:p>
          <w:p>
            <w:pPr>
              <w:spacing w:after="0" w:line="271" w:lineRule="auto"/>
            </w:pPr>
            <w:r>
              <w:rPr>
                <w:rFonts w:ascii="Aptos" w:hAnsi="Aptos"/>
                <w:b w:val="0"/>
                <w:i w:val="0"/>
                <w:color w:val="102534"/>
                <w:sz w:val="20"/>
              </w:rPr>
              <w:t>The present platform screens evidence, forecasts published upstream constraint events, and validates capacity and flexibility methods on synthetic networks. Confirmed site-specific MW remains an operator decision.</w:t>
            </w:r>
          </w:p>
        </w:tc>
      </w:tr>
    </w:tbl>
    <w:p>
      <w:pPr>
        <w:spacing w:after="20"/>
      </w:pPr>
    </w:p>
    <w:p>
      <w:r>
        <w:br w:type="page"/>
      </w:r>
    </w:p>
    <w:p>
      <w:pPr>
        <w:keepNext/>
        <w:spacing w:before="60" w:after="100" w:line="278" w:lineRule="auto"/>
        <w:jc w:val="left"/>
      </w:pPr>
      <w:r>
        <w:rPr>
          <w:rFonts w:ascii="Aptos" w:hAnsi="Aptos"/>
          <w:b/>
          <w:i w:val="0"/>
          <w:color w:val="36C5F0"/>
          <w:sz w:val="17"/>
        </w:rPr>
        <w:t>EXECUTIVE SUMMARY</w:t>
      </w:r>
    </w:p>
    <w:p>
      <w:pPr>
        <w:pStyle w:val="Heading1"/>
        <w:keepNext/>
        <w:pageBreakBefore/>
      </w:pPr>
      <w:r>
        <w:rPr>
          <w:rFonts w:ascii="Aptos" w:hAnsi="Aptos"/>
          <w:b/>
          <w:i w:val="0"/>
          <w:color w:val="071A2B"/>
          <w:sz w:val="42"/>
        </w:rPr>
        <w:t>The investment thesis</w:t>
      </w:r>
    </w:p>
    <w:p>
      <w:pPr>
        <w:keepNext w:val="0"/>
        <w:spacing w:before="0" w:after="200" w:line="278" w:lineRule="auto"/>
        <w:jc w:val="left"/>
      </w:pPr>
      <w:r>
        <w:rPr>
          <w:rFonts w:ascii="Aptos" w:hAnsi="Aptos"/>
          <w:b w:val="0"/>
          <w:i w:val="0"/>
          <w:color w:val="102534"/>
          <w:sz w:val="22"/>
        </w:rPr>
        <w:t>Data-centre development increasingly depends on whether large electrical loads can obtain a technically feasible and commercially usable grid connection. Yet early-stage developers face a fragmented evidence problem: public maps describe infrastructure, market platforms publish system-level conditions, and operators hold the decisive topology, loading, queue and protection information. GridPulse is building the evidence and modelling layer between property screening and the formal operator study.</w:t>
      </w:r>
    </w:p>
    <w:tbl>
      <w:tblPr>
        <w:tblW w:type="dxa" w:w="9360"/>
        <w:jc w:val="center"/>
        <w:tblLayout w:type="fixed"/>
        <w:tblLook w:firstColumn="1" w:firstRow="1" w:lastColumn="0" w:lastRow="0" w:noHBand="0" w:noVBand="1" w:val="04A0"/>
        <w:tblLayout w:type="fixed"/>
      </w:tblPr>
      <w:tblGrid>
        <w:gridCol w:w="9360"/>
      </w:tblGrid>
      <w:tr>
        <w:tc>
          <w:tcPr>
            <w:tcW w:type="dxa" w:w="9360"/>
            <w:tcMar>
              <w:top w:w="100" w:type="dxa"/>
              <w:start w:w="120" w:type="dxa"/>
              <w:bottom w:w="100" w:type="dxa"/>
              <w:end w:w="120" w:type="dxa"/>
            </w:tcMar>
            <w:vAlign w:val="center"/>
            <w:shd w:fill="EAF3F8"/>
          </w:tcPr>
          <w:p>
            <w:pPr>
              <w:spacing w:after="60"/>
            </w:pPr>
            <w:r>
              <w:rPr>
                <w:rFonts w:ascii="Aptos" w:hAnsi="Aptos"/>
                <w:b/>
                <w:i w:val="0"/>
                <w:color w:val="36C5F0"/>
                <w:sz w:val="16"/>
              </w:rPr>
              <w:t>WHAT EXISTS TODAY</w:t>
            </w:r>
          </w:p>
          <w:p>
            <w:pPr>
              <w:spacing w:after="80"/>
            </w:pPr>
            <w:r>
              <w:rPr>
                <w:rFonts w:ascii="Aptos" w:hAnsi="Aptos"/>
                <w:b/>
                <w:i w:val="0"/>
                <w:color w:val="071A2B"/>
                <w:sz w:val="26"/>
              </w:rPr>
              <w:t>A working research platform, not a slide-deck concept.</w:t>
            </w:r>
          </w:p>
          <w:p>
            <w:pPr>
              <w:spacing w:after="0" w:line="271" w:lineRule="auto"/>
            </w:pPr>
            <w:r>
              <w:rPr>
                <w:rFonts w:ascii="Aptos" w:hAnsi="Aptos"/>
                <w:b w:val="0"/>
                <w:i w:val="0"/>
                <w:color w:val="102534"/>
                <w:sz w:val="20"/>
              </w:rPr>
              <w:t>The separate GridPulse backtest laboratory contains immutable source capture, publication-time event reconstruction, rolling out-of-sample models, AC N-0/N-1 synthetic benchmarks, queue simulations, bounded DeFlex optimization, operator-data contracts and 121 passing tests.</w:t>
            </w:r>
          </w:p>
        </w:tc>
      </w:tr>
    </w:tbl>
    <w:p>
      <w:pPr>
        <w:spacing w:after="20"/>
      </w:pPr>
    </w:p>
    <w:p>
      <w:pPr>
        <w:pStyle w:val="Heading2"/>
        <w:keepNext/>
        <w:pageBreakBefore w:val="0"/>
      </w:pPr>
      <w:r>
        <w:rPr>
          <w:rFonts w:ascii="Aptos" w:hAnsi="Aptos"/>
          <w:b/>
          <w:i w:val="0"/>
          <w:color w:val="0D2A42"/>
          <w:sz w:val="28"/>
        </w:rPr>
        <w:t>The product wedge</w:t>
      </w:r>
    </w:p>
    <w:p>
      <w:pPr>
        <w:keepNext w:val="0"/>
        <w:spacing w:before="0" w:after="140" w:line="278" w:lineRule="auto"/>
        <w:jc w:val="left"/>
      </w:pPr>
      <w:r>
        <w:rPr>
          <w:rFonts w:ascii="Aptos" w:hAnsi="Aptos"/>
          <w:b w:val="0"/>
          <w:i w:val="0"/>
          <w:color w:val="102534"/>
          <w:sz w:val="21"/>
        </w:rPr>
        <w:t>GridPulse can already support public site screening, evidence completeness, upstream constraint history, comparative investigation and customer-defined flexibility scenarios. Its defensible near-term value is reducing uncertainty and improving the quality of connection applications - not replacing the DSO or TSO.</w:t>
      </w:r>
    </w:p>
    <w:p>
      <w:pPr>
        <w:pStyle w:val="Heading2"/>
        <w:keepNext/>
        <w:pageBreakBefore w:val="0"/>
      </w:pPr>
      <w:r>
        <w:rPr>
          <w:rFonts w:ascii="Aptos" w:hAnsi="Aptos"/>
          <w:b/>
          <w:i w:val="0"/>
          <w:color w:val="0D2A42"/>
          <w:sz w:val="28"/>
        </w:rPr>
        <w:t>The decisive milestone</w:t>
      </w:r>
    </w:p>
    <w:p>
      <w:pPr>
        <w:keepNext w:val="0"/>
        <w:spacing w:before="0" w:after="140" w:line="278" w:lineRule="auto"/>
        <w:jc w:val="left"/>
      </w:pPr>
      <w:r>
        <w:rPr>
          <w:rFonts w:ascii="Aptos" w:hAnsi="Aptos"/>
          <w:b w:val="0"/>
          <w:i w:val="0"/>
          <w:color w:val="102534"/>
          <w:sz w:val="21"/>
        </w:rPr>
        <w:t>The next value inflection is a confidential operator pilot. With anonymized topology, equipment ratings, historical loading, outages, queues and connection outcomes, the same architecture can move from synthetic validation to operator-model validation and historical reconciliation.</w:t>
      </w:r>
    </w:p>
    <w:tbl>
      <w:tblPr>
        <w:tblStyle w:val="TableGrid"/>
        <w:tblW w:type="dxa" w:w="9360"/>
        <w:jc w:val="center"/>
        <w:tblLayout w:type="fixed"/>
        <w:tblLook w:firstColumn="1" w:firstRow="1" w:lastColumn="0" w:lastRow="0" w:noHBand="0" w:noVBand="1" w:val="04A0"/>
        <w:tblLayout w:type="fixed"/>
      </w:tblPr>
      <w:tblGrid>
        <w:gridCol w:w="3000"/>
        <w:gridCol w:w="3000"/>
        <w:gridCol w:w="3360"/>
      </w:tblGrid>
      <w:tr>
        <w:trPr>
          <w:tblHeader w:val="true"/>
        </w:trPr>
        <w:tc>
          <w:tcPr>
            <w:tcW w:type="dxa" w:w="3000"/>
            <w:shd w:fill="0D2A42"/>
            <w:tcMar>
              <w:top w:w="100" w:type="dxa"/>
              <w:start w:w="120" w:type="dxa"/>
              <w:bottom w:w="100" w:type="dxa"/>
              <w:end w:w="120" w:type="dxa"/>
            </w:tcMar>
            <w:vAlign w:val="center"/>
          </w:tcPr>
          <w:p>
            <w:r>
              <w:rPr>
                <w:rFonts w:ascii="Aptos" w:hAnsi="Aptos"/>
                <w:b/>
                <w:i w:val="0"/>
                <w:color w:val="FFFFFF"/>
                <w:sz w:val="17"/>
              </w:rPr>
              <w:t>Capability</w:t>
            </w:r>
          </w:p>
        </w:tc>
        <w:tc>
          <w:tcPr>
            <w:tcW w:type="dxa" w:w="3000"/>
            <w:shd w:fill="0D2A42"/>
            <w:tcMar>
              <w:top w:w="100" w:type="dxa"/>
              <w:start w:w="120" w:type="dxa"/>
              <w:bottom w:w="100" w:type="dxa"/>
              <w:end w:w="120" w:type="dxa"/>
            </w:tcMar>
            <w:vAlign w:val="center"/>
          </w:tcPr>
          <w:p>
            <w:r>
              <w:rPr>
                <w:rFonts w:ascii="Aptos" w:hAnsi="Aptos"/>
                <w:b/>
                <w:i w:val="0"/>
                <w:color w:val="FFFFFF"/>
                <w:sz w:val="17"/>
              </w:rPr>
              <w:t>Current evidence class</w:t>
            </w:r>
          </w:p>
        </w:tc>
        <w:tc>
          <w:tcPr>
            <w:tcW w:type="dxa" w:w="3360"/>
            <w:shd w:fill="0D2A42"/>
            <w:tcMar>
              <w:top w:w="100" w:type="dxa"/>
              <w:start w:w="120" w:type="dxa"/>
              <w:bottom w:w="100" w:type="dxa"/>
              <w:end w:w="120" w:type="dxa"/>
            </w:tcMar>
            <w:vAlign w:val="center"/>
          </w:tcPr>
          <w:p>
            <w:r>
              <w:rPr>
                <w:rFonts w:ascii="Aptos" w:hAnsi="Aptos"/>
                <w:b/>
                <w:i w:val="0"/>
                <w:color w:val="FFFFFF"/>
                <w:sz w:val="17"/>
              </w:rPr>
              <w:t>Readiness</w:t>
            </w:r>
          </w:p>
        </w:tc>
      </w:tr>
      <w:tr>
        <w:tc>
          <w:tcPr>
            <w:tcW w:type="dxa" w:w="3000"/>
            <w:tcMar>
              <w:top w:w="100" w:type="dxa"/>
              <w:start w:w="120" w:type="dxa"/>
              <w:bottom w:w="100" w:type="dxa"/>
              <w:end w:w="120" w:type="dxa"/>
            </w:tcMar>
            <w:vAlign w:val="center"/>
          </w:tcPr>
          <w:p>
            <w:pPr>
              <w:spacing w:after="0" w:line="252" w:lineRule="auto"/>
            </w:pPr>
            <w:r>
              <w:rPr>
                <w:rFonts w:ascii="Aptos" w:hAnsi="Aptos"/>
                <w:b/>
                <w:i w:val="0"/>
                <w:color w:val="102534"/>
                <w:sz w:val="18"/>
              </w:rPr>
              <w:t>Public site and constraint screening</w:t>
            </w:r>
          </w:p>
        </w:tc>
        <w:tc>
          <w:tcPr>
            <w:tcW w:type="dxa" w:w="3000"/>
            <w:tcMar>
              <w:top w:w="100" w:type="dxa"/>
              <w:start w:w="120" w:type="dxa"/>
              <w:bottom w:w="100" w:type="dxa"/>
              <w:end w:w="120" w:type="dxa"/>
            </w:tcMar>
            <w:vAlign w:val="center"/>
          </w:tcPr>
          <w:p>
            <w:pPr>
              <w:spacing w:after="0" w:line="252" w:lineRule="auto"/>
            </w:pPr>
            <w:r>
              <w:rPr>
                <w:rFonts w:ascii="Aptos" w:hAnsi="Aptos"/>
                <w:b w:val="0"/>
                <w:i w:val="0"/>
                <w:color w:val="102534"/>
                <w:sz w:val="18"/>
              </w:rPr>
              <w:t>Public/operator-published context</w:t>
            </w:r>
          </w:p>
        </w:tc>
        <w:tc>
          <w:tcPr>
            <w:tcW w:type="dxa" w:w="3360"/>
            <w:tcMar>
              <w:top w:w="100" w:type="dxa"/>
              <w:start w:w="120" w:type="dxa"/>
              <w:bottom w:w="100" w:type="dxa"/>
              <w:end w:w="120" w:type="dxa"/>
            </w:tcMar>
            <w:vAlign w:val="center"/>
          </w:tcPr>
          <w:p>
            <w:pPr>
              <w:spacing w:after="0" w:line="252" w:lineRule="auto"/>
            </w:pPr>
            <w:r>
              <w:rPr>
                <w:rFonts w:ascii="Aptos" w:hAnsi="Aptos"/>
                <w:b w:val="0"/>
                <w:i w:val="0"/>
                <w:color w:val="102534"/>
                <w:sz w:val="18"/>
              </w:rPr>
              <w:t>Available</w:t>
            </w:r>
          </w:p>
        </w:tc>
      </w:tr>
      <w:tr>
        <w:tc>
          <w:tcPr>
            <w:tcW w:type="dxa" w:w="30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50Hertz constraint-event risk</w:t>
            </w:r>
          </w:p>
        </w:tc>
        <w:tc>
          <w:tcPr>
            <w:tcW w:type="dxa" w:w="30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Experimental estimate</w:t>
            </w:r>
          </w:p>
        </w:tc>
        <w:tc>
          <w:tcPr>
            <w:tcW w:type="dxa" w:w="33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Research-ready; release gate failed</w:t>
            </w:r>
          </w:p>
        </w:tc>
      </w:tr>
      <w:tr>
        <w:tc>
          <w:tcPr>
            <w:tcW w:type="dxa" w:w="3000"/>
            <w:tcMar>
              <w:top w:w="100" w:type="dxa"/>
              <w:start w:w="120" w:type="dxa"/>
              <w:bottom w:w="100" w:type="dxa"/>
              <w:end w:w="120" w:type="dxa"/>
            </w:tcMar>
            <w:vAlign w:val="center"/>
          </w:tcPr>
          <w:p>
            <w:pPr>
              <w:spacing w:after="0" w:line="252" w:lineRule="auto"/>
            </w:pPr>
            <w:r>
              <w:rPr>
                <w:rFonts w:ascii="Aptos" w:hAnsi="Aptos"/>
                <w:b/>
                <w:i w:val="0"/>
                <w:color w:val="102534"/>
                <w:sz w:val="18"/>
              </w:rPr>
              <w:t>AC capacity and DeFlex</w:t>
            </w:r>
          </w:p>
        </w:tc>
        <w:tc>
          <w:tcPr>
            <w:tcW w:type="dxa" w:w="3000"/>
            <w:tcMar>
              <w:top w:w="100" w:type="dxa"/>
              <w:start w:w="120" w:type="dxa"/>
              <w:bottom w:w="100" w:type="dxa"/>
              <w:end w:w="120" w:type="dxa"/>
            </w:tcMar>
            <w:vAlign w:val="center"/>
          </w:tcPr>
          <w:p>
            <w:pPr>
              <w:spacing w:after="0" w:line="252" w:lineRule="auto"/>
            </w:pPr>
            <w:r>
              <w:rPr>
                <w:rFonts w:ascii="Aptos" w:hAnsi="Aptos"/>
                <w:b w:val="0"/>
                <w:i w:val="0"/>
                <w:color w:val="102534"/>
                <w:sz w:val="18"/>
              </w:rPr>
              <w:t>Synthetic benchmark</w:t>
            </w:r>
          </w:p>
        </w:tc>
        <w:tc>
          <w:tcPr>
            <w:tcW w:type="dxa" w:w="3360"/>
            <w:tcMar>
              <w:top w:w="100" w:type="dxa"/>
              <w:start w:w="120" w:type="dxa"/>
              <w:bottom w:w="100" w:type="dxa"/>
              <w:end w:w="120" w:type="dxa"/>
            </w:tcMar>
            <w:vAlign w:val="center"/>
          </w:tcPr>
          <w:p>
            <w:pPr>
              <w:spacing w:after="0" w:line="252" w:lineRule="auto"/>
            </w:pPr>
            <w:r>
              <w:rPr>
                <w:rFonts w:ascii="Aptos" w:hAnsi="Aptos"/>
                <w:b w:val="0"/>
                <w:i w:val="0"/>
                <w:color w:val="102534"/>
                <w:sz w:val="18"/>
              </w:rPr>
              <w:t>Implemented and tested</w:t>
            </w:r>
          </w:p>
        </w:tc>
      </w:tr>
      <w:tr>
        <w:tc>
          <w:tcPr>
            <w:tcW w:type="dxa" w:w="30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Operator network analysis</w:t>
            </w:r>
          </w:p>
        </w:tc>
        <w:tc>
          <w:tcPr>
            <w:tcW w:type="dxa" w:w="30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Operator-model unvalidated</w:t>
            </w:r>
          </w:p>
        </w:tc>
        <w:tc>
          <w:tcPr>
            <w:tcW w:type="dxa" w:w="33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Awaiting operator package</w:t>
            </w:r>
          </w:p>
        </w:tc>
      </w:tr>
      <w:tr>
        <w:tc>
          <w:tcPr>
            <w:tcW w:type="dxa" w:w="3000"/>
            <w:tcMar>
              <w:top w:w="100" w:type="dxa"/>
              <w:start w:w="120" w:type="dxa"/>
              <w:bottom w:w="100" w:type="dxa"/>
              <w:end w:w="120" w:type="dxa"/>
            </w:tcMar>
            <w:vAlign w:val="center"/>
          </w:tcPr>
          <w:p>
            <w:pPr>
              <w:spacing w:after="0" w:line="252" w:lineRule="auto"/>
            </w:pPr>
            <w:r>
              <w:rPr>
                <w:rFonts w:ascii="Aptos" w:hAnsi="Aptos"/>
                <w:b/>
                <w:i w:val="0"/>
                <w:color w:val="102534"/>
                <w:sz w:val="18"/>
              </w:rPr>
              <w:t>Confirmed connection capacity</w:t>
            </w:r>
          </w:p>
        </w:tc>
        <w:tc>
          <w:tcPr>
            <w:tcW w:type="dxa" w:w="3000"/>
            <w:tcMar>
              <w:top w:w="100" w:type="dxa"/>
              <w:start w:w="120" w:type="dxa"/>
              <w:bottom w:w="100" w:type="dxa"/>
              <w:end w:w="120" w:type="dxa"/>
            </w:tcMar>
            <w:vAlign w:val="center"/>
          </w:tcPr>
          <w:p>
            <w:pPr>
              <w:spacing w:after="0" w:line="252" w:lineRule="auto"/>
            </w:pPr>
            <w:r>
              <w:rPr>
                <w:rFonts w:ascii="Aptos" w:hAnsi="Aptos"/>
                <w:b w:val="0"/>
                <w:i w:val="0"/>
                <w:color w:val="102534"/>
                <w:sz w:val="18"/>
              </w:rPr>
              <w:t>Operator-confirmed</w:t>
            </w:r>
          </w:p>
        </w:tc>
        <w:tc>
          <w:tcPr>
            <w:tcW w:type="dxa" w:w="3360"/>
            <w:tcMar>
              <w:top w:w="100" w:type="dxa"/>
              <w:start w:w="120" w:type="dxa"/>
              <w:bottom w:w="100" w:type="dxa"/>
              <w:end w:w="120" w:type="dxa"/>
            </w:tcMar>
            <w:vAlign w:val="center"/>
          </w:tcPr>
          <w:p>
            <w:pPr>
              <w:spacing w:after="0" w:line="252" w:lineRule="auto"/>
            </w:pPr>
            <w:r>
              <w:rPr>
                <w:rFonts w:ascii="Aptos" w:hAnsi="Aptos"/>
                <w:b w:val="0"/>
                <w:i w:val="0"/>
                <w:color w:val="102534"/>
                <w:sz w:val="18"/>
              </w:rPr>
              <w:t>Unavailable</w:t>
            </w:r>
          </w:p>
        </w:tc>
      </w:tr>
    </w:tbl>
    <w:p>
      <w:pPr>
        <w:spacing w:after="40"/>
      </w:pPr>
    </w:p>
    <w:p>
      <w:pPr>
        <w:pStyle w:val="Heading1"/>
        <w:keepNext/>
        <w:pageBreakBefore/>
      </w:pPr>
      <w:r>
        <w:rPr>
          <w:rFonts w:ascii="Aptos" w:hAnsi="Aptos"/>
          <w:b/>
          <w:i w:val="0"/>
          <w:color w:val="071A2B"/>
          <w:sz w:val="42"/>
        </w:rPr>
        <w:t>1. The problem GridPulse addresses</w:t>
      </w:r>
    </w:p>
    <w:p>
      <w:pPr>
        <w:pStyle w:val="Heading2"/>
        <w:keepNext/>
        <w:pageBreakBefore w:val="0"/>
      </w:pPr>
      <w:r>
        <w:rPr>
          <w:rFonts w:ascii="Aptos" w:hAnsi="Aptos"/>
          <w:b/>
          <w:i w:val="0"/>
          <w:color w:val="0D2A42"/>
          <w:sz w:val="28"/>
        </w:rPr>
        <w:t>A high-value decision made with incomplete evidence</w:t>
      </w:r>
    </w:p>
    <w:p>
      <w:pPr>
        <w:keepNext w:val="0"/>
        <w:spacing w:before="0" w:after="140" w:line="278" w:lineRule="auto"/>
        <w:jc w:val="left"/>
      </w:pPr>
      <w:r>
        <w:rPr>
          <w:rFonts w:ascii="Aptos" w:hAnsi="Aptos"/>
          <w:b w:val="0"/>
          <w:i w:val="0"/>
          <w:color w:val="102534"/>
          <w:sz w:val="21"/>
        </w:rPr>
        <w:t>A data-centre site can be attractive on land, fiber, cooling, permitting and market access while remaining commercially stranded by its grid connection. The relevant decision is not simply whether a transmission line or substation is nearby. It depends on the operator-selected connection point, normal and contingency states, ratings, voltage and protection limits, prior commitments, reinforcement timing and the customer's load behavior.</w:t>
      </w:r>
    </w:p>
    <w:p>
      <w:pPr>
        <w:pStyle w:val="ListBullet"/>
        <w:spacing w:after="80" w:line="269" w:lineRule="auto"/>
      </w:pPr>
      <w:r>
        <w:rPr>
          <w:rFonts w:ascii="Aptos" w:hAnsi="Aptos"/>
          <w:b w:val="0"/>
          <w:i w:val="0"/>
          <w:color w:val="102534"/>
          <w:sz w:val="20"/>
        </w:rPr>
        <w:t>Public infrastructure proximity is a screening signal, not proof of electrical connectivity or capacity.</w:t>
      </w:r>
    </w:p>
    <w:p>
      <w:pPr>
        <w:pStyle w:val="ListBullet"/>
        <w:spacing w:after="80" w:line="269" w:lineRule="auto"/>
      </w:pPr>
      <w:r>
        <w:rPr>
          <w:rFonts w:ascii="Aptos" w:hAnsi="Aptos"/>
          <w:b w:val="0"/>
          <w:i w:val="0"/>
          <w:color w:val="102534"/>
          <w:sz w:val="20"/>
        </w:rPr>
        <w:t>National load and bidding-zone data describe shared system context, not local substation loading.</w:t>
      </w:r>
    </w:p>
    <w:p>
      <w:pPr>
        <w:pStyle w:val="ListBullet"/>
        <w:spacing w:after="80" w:line="269" w:lineRule="auto"/>
      </w:pPr>
      <w:r>
        <w:rPr>
          <w:rFonts w:ascii="Aptos" w:hAnsi="Aptos"/>
          <w:b w:val="0"/>
          <w:i w:val="0"/>
          <w:color w:val="102534"/>
          <w:sz w:val="20"/>
        </w:rPr>
        <w:t>Redispatch and outage publications reveal constraint context, but do not expose residual connection MW.</w:t>
      </w:r>
    </w:p>
    <w:p>
      <w:pPr>
        <w:pStyle w:val="ListBullet"/>
        <w:spacing w:after="80" w:line="269" w:lineRule="auto"/>
      </w:pPr>
      <w:r>
        <w:rPr>
          <w:rFonts w:ascii="Aptos" w:hAnsi="Aptos"/>
          <w:b w:val="0"/>
          <w:i w:val="0"/>
          <w:color w:val="102534"/>
          <w:sz w:val="20"/>
        </w:rPr>
        <w:t>A battery or flexible workload can reshape demand; it cannot manufacture network capacity.</w:t>
      </w:r>
    </w:p>
    <w:p>
      <w:pPr>
        <w:pStyle w:val="Heading2"/>
        <w:keepNext/>
        <w:pageBreakBefore w:val="0"/>
      </w:pPr>
      <w:r>
        <w:rPr>
          <w:rFonts w:ascii="Aptos" w:hAnsi="Aptos"/>
          <w:b/>
          <w:i w:val="0"/>
          <w:color w:val="0D2A42"/>
          <w:sz w:val="28"/>
        </w:rPr>
        <w:t>Why now</w:t>
      </w:r>
    </w:p>
    <w:p>
      <w:pPr>
        <w:keepNext w:val="0"/>
        <w:spacing w:before="0" w:after="140" w:line="278" w:lineRule="auto"/>
        <w:jc w:val="left"/>
      </w:pPr>
      <w:r>
        <w:rPr>
          <w:rFonts w:ascii="Aptos" w:hAnsi="Aptos"/>
          <w:b w:val="0"/>
          <w:i w:val="0"/>
          <w:color w:val="102534"/>
          <w:sz w:val="21"/>
        </w:rPr>
        <w:t>The IEA identifies large, spatially concentrated loads such as data centres as a growing power-system challenge and estimates that grid constraints could delay about 20% of planned global data-centre capacity through 2030. Grid expansion often takes materially longer than data-centre construction, increasing the value of earlier, evidence-based qualification and flexible-connection design.</w:t>
      </w:r>
    </w:p>
    <w:tbl>
      <w:tblPr>
        <w:tblW w:type="dxa" w:w="9360"/>
        <w:jc w:val="center"/>
        <w:tblLayout w:type="fixed"/>
        <w:tblLook w:firstColumn="1" w:firstRow="1" w:lastColumn="0" w:lastRow="0" w:noHBand="0" w:noVBand="1" w:val="04A0"/>
        <w:tblLayout w:type="fixed"/>
      </w:tblPr>
      <w:tblGrid>
        <w:gridCol w:w="9360"/>
      </w:tblGrid>
      <w:tr>
        <w:tc>
          <w:tcPr>
            <w:tcW w:type="dxa" w:w="9360"/>
            <w:tcMar>
              <w:top w:w="100" w:type="dxa"/>
              <w:start w:w="120" w:type="dxa"/>
              <w:bottom w:w="100" w:type="dxa"/>
              <w:end w:w="120" w:type="dxa"/>
            </w:tcMar>
            <w:vAlign w:val="center"/>
            <w:shd w:fill="EAF3F8"/>
          </w:tcPr>
          <w:p>
            <w:pPr>
              <w:spacing w:after="60"/>
            </w:pPr>
            <w:r>
              <w:rPr>
                <w:rFonts w:ascii="Aptos" w:hAnsi="Aptos"/>
                <w:b/>
                <w:i w:val="0"/>
                <w:color w:val="66D3B2"/>
                <w:sz w:val="16"/>
              </w:rPr>
              <w:t>COMMERCIAL OPPORTUNITY</w:t>
            </w:r>
          </w:p>
          <w:p>
            <w:pPr>
              <w:spacing w:after="80"/>
            </w:pPr>
            <w:r>
              <w:rPr>
                <w:rFonts w:ascii="Aptos" w:hAnsi="Aptos"/>
                <w:b/>
                <w:i w:val="0"/>
                <w:color w:val="071A2B"/>
                <w:sz w:val="26"/>
              </w:rPr>
              <w:t>A faster and more defensible path from site shortlist to operator dialogue.</w:t>
            </w:r>
          </w:p>
          <w:p>
            <w:pPr>
              <w:spacing w:after="0" w:line="271" w:lineRule="auto"/>
            </w:pPr>
            <w:r>
              <w:rPr>
                <w:rFonts w:ascii="Aptos" w:hAnsi="Aptos"/>
                <w:b w:val="0"/>
                <w:i w:val="0"/>
                <w:color w:val="102534"/>
                <w:sz w:val="20"/>
              </w:rPr>
              <w:t>GridPulse can help developers rank investigation priorities, expose missing evidence, quantify scenario sensitivity, prepare staged or flexible connection requests, and preserve a reproducible record of what was known when each decision was made.</w:t>
            </w:r>
          </w:p>
        </w:tc>
      </w:tr>
    </w:tbl>
    <w:p>
      <w:pPr>
        <w:spacing w:after="20"/>
      </w:pPr>
    </w:p>
    <w:p>
      <w:pPr>
        <w:pStyle w:val="Heading1"/>
        <w:keepNext/>
        <w:pageBreakBefore/>
      </w:pPr>
      <w:r>
        <w:rPr>
          <w:rFonts w:ascii="Aptos" w:hAnsi="Aptos"/>
          <w:b/>
          <w:i w:val="0"/>
          <w:color w:val="071A2B"/>
          <w:sz w:val="42"/>
        </w:rPr>
        <w:t>2. Product and evidence architecture</w:t>
      </w:r>
    </w:p>
    <w:p>
      <w:pPr>
        <w:keepNext w:val="0"/>
        <w:spacing w:before="0" w:after="140" w:line="278" w:lineRule="auto"/>
        <w:jc w:val="left"/>
      </w:pPr>
      <w:r>
        <w:rPr>
          <w:rFonts w:ascii="Aptos" w:hAnsi="Aptos"/>
          <w:b w:val="0"/>
          <w:i w:val="0"/>
          <w:color w:val="102534"/>
          <w:sz w:val="21"/>
        </w:rPr>
        <w:t>The product is designed as four non-interchangeable evidence layers. Each layer has a distinct source class, permissible language and release gate.</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evidence_stack.png"/>
                    <pic:cNvPicPr/>
                  </pic:nvPicPr>
                  <pic:blipFill>
                    <a:blip r:embed="rId11"/>
                    <a:stretch>
                      <a:fillRect/>
                    </a:stretch>
                  </pic:blipFill>
                  <pic:spPr>
                    <a:xfrm>
                      <a:off x="0" y="0"/>
                      <a:ext cx="5943600" cy="2971800"/>
                    </a:xfrm>
                    <a:prstGeom prst="rect"/>
                  </pic:spPr>
                </pic:pic>
              </a:graphicData>
            </a:graphic>
          </wp:inline>
        </w:drawing>
      </w:r>
    </w:p>
    <w:p>
      <w:pPr>
        <w:keepNext w:val="0"/>
        <w:spacing w:before="0" w:after="200" w:line="278" w:lineRule="auto"/>
        <w:jc w:val="center"/>
      </w:pPr>
      <w:r>
        <w:rPr>
          <w:rFonts w:ascii="Aptos" w:hAnsi="Aptos"/>
          <w:b w:val="0"/>
          <w:i/>
          <w:color w:val="5D7385"/>
          <w:sz w:val="17"/>
        </w:rPr>
        <w:t>Figure 1. GridPulse evidence stack. Higher layers require stronger evidence; lower-layer results cannot be relabelled as confirmed capacity.</w:t>
      </w:r>
    </w:p>
    <w:tbl>
      <w:tblPr>
        <w:tblStyle w:val="TableGrid"/>
        <w:tblW w:type="dxa" w:w="9360"/>
        <w:jc w:val="center"/>
        <w:tblLayout w:type="fixed"/>
        <w:tblLook w:firstColumn="1" w:firstRow="1" w:lastColumn="0" w:lastRow="0" w:noHBand="0" w:noVBand="1" w:val="04A0"/>
        <w:tblLayout w:type="fixed"/>
      </w:tblPr>
      <w:tblGrid>
        <w:gridCol w:w="2100"/>
        <w:gridCol w:w="3500"/>
        <w:gridCol w:w="3760"/>
      </w:tblGrid>
      <w:tr>
        <w:trPr>
          <w:tblHeader w:val="true"/>
        </w:trPr>
        <w:tc>
          <w:tcPr>
            <w:tcW w:type="dxa" w:w="2100"/>
            <w:shd w:fill="0D2A42"/>
            <w:tcMar>
              <w:top w:w="100" w:type="dxa"/>
              <w:start w:w="120" w:type="dxa"/>
              <w:bottom w:w="100" w:type="dxa"/>
              <w:end w:w="120" w:type="dxa"/>
            </w:tcMar>
            <w:vAlign w:val="center"/>
          </w:tcPr>
          <w:p>
            <w:r>
              <w:rPr>
                <w:rFonts w:ascii="Aptos" w:hAnsi="Aptos"/>
                <w:b/>
                <w:i w:val="0"/>
                <w:color w:val="FFFFFF"/>
                <w:sz w:val="17"/>
              </w:rPr>
              <w:t>Layer</w:t>
            </w:r>
          </w:p>
        </w:tc>
        <w:tc>
          <w:tcPr>
            <w:tcW w:type="dxa" w:w="3500"/>
            <w:shd w:fill="0D2A42"/>
            <w:tcMar>
              <w:top w:w="100" w:type="dxa"/>
              <w:start w:w="120" w:type="dxa"/>
              <w:bottom w:w="100" w:type="dxa"/>
              <w:end w:w="120" w:type="dxa"/>
            </w:tcMar>
            <w:vAlign w:val="center"/>
          </w:tcPr>
          <w:p>
            <w:r>
              <w:rPr>
                <w:rFonts w:ascii="Aptos" w:hAnsi="Aptos"/>
                <w:b/>
                <w:i w:val="0"/>
                <w:color w:val="FFFFFF"/>
                <w:sz w:val="17"/>
              </w:rPr>
              <w:t>Permitted output</w:t>
            </w:r>
          </w:p>
        </w:tc>
        <w:tc>
          <w:tcPr>
            <w:tcW w:type="dxa" w:w="3760"/>
            <w:shd w:fill="0D2A42"/>
            <w:tcMar>
              <w:top w:w="100" w:type="dxa"/>
              <w:start w:w="120" w:type="dxa"/>
              <w:bottom w:w="100" w:type="dxa"/>
              <w:end w:w="120" w:type="dxa"/>
            </w:tcMar>
            <w:vAlign w:val="center"/>
          </w:tcPr>
          <w:p>
            <w:r>
              <w:rPr>
                <w:rFonts w:ascii="Aptos" w:hAnsi="Aptos"/>
                <w:b/>
                <w:i w:val="0"/>
                <w:color w:val="FFFFFF"/>
                <w:sz w:val="17"/>
              </w:rPr>
              <w:t>Prohibited interpretation</w:t>
            </w:r>
          </w:p>
        </w:tc>
      </w:tr>
      <w:tr>
        <w:tc>
          <w:tcPr>
            <w:tcW w:type="dxa" w:w="2100"/>
            <w:tcMar>
              <w:top w:w="100" w:type="dxa"/>
              <w:start w:w="120" w:type="dxa"/>
              <w:bottom w:w="100" w:type="dxa"/>
              <w:end w:w="120" w:type="dxa"/>
            </w:tcMar>
            <w:vAlign w:val="center"/>
          </w:tcPr>
          <w:p>
            <w:pPr>
              <w:spacing w:after="0" w:line="252" w:lineRule="auto"/>
            </w:pPr>
            <w:r>
              <w:rPr>
                <w:rFonts w:ascii="Aptos" w:hAnsi="Aptos"/>
                <w:b/>
                <w:i w:val="0"/>
                <w:color w:val="102534"/>
                <w:sz w:val="17"/>
              </w:rPr>
              <w:t>Public constraint context</w:t>
            </w:r>
          </w:p>
        </w:tc>
        <w:tc>
          <w:tcPr>
            <w:tcW w:type="dxa" w:w="3500"/>
            <w:tcMar>
              <w:top w:w="100" w:type="dxa"/>
              <w:start w:w="120" w:type="dxa"/>
              <w:bottom w:w="100" w:type="dxa"/>
              <w:end w:w="120" w:type="dxa"/>
            </w:tcMar>
            <w:vAlign w:val="center"/>
          </w:tcPr>
          <w:p>
            <w:pPr>
              <w:spacing w:after="0" w:line="252" w:lineRule="auto"/>
            </w:pPr>
            <w:r>
              <w:rPr>
                <w:rFonts w:ascii="Aptos" w:hAnsi="Aptos"/>
                <w:b w:val="0"/>
                <w:i w:val="0"/>
                <w:color w:val="102534"/>
                <w:sz w:val="17"/>
              </w:rPr>
              <w:t>Published upstream congestion, outage or planning context</w:t>
            </w:r>
          </w:p>
        </w:tc>
        <w:tc>
          <w:tcPr>
            <w:tcW w:type="dxa" w:w="3760"/>
            <w:tcMar>
              <w:top w:w="100" w:type="dxa"/>
              <w:start w:w="120" w:type="dxa"/>
              <w:bottom w:w="100" w:type="dxa"/>
              <w:end w:w="120" w:type="dxa"/>
            </w:tcMar>
            <w:vAlign w:val="center"/>
          </w:tcPr>
          <w:p>
            <w:pPr>
              <w:spacing w:after="0" w:line="252" w:lineRule="auto"/>
            </w:pPr>
            <w:r>
              <w:rPr>
                <w:rFonts w:ascii="Aptos" w:hAnsi="Aptos"/>
                <w:b w:val="0"/>
                <w:i w:val="0"/>
                <w:color w:val="102534"/>
                <w:sz w:val="17"/>
              </w:rPr>
              <w:t>Available MW or connection feasibility</w:t>
            </w:r>
          </w:p>
        </w:tc>
      </w:tr>
      <w:tr>
        <w:tc>
          <w:tcPr>
            <w:tcW w:type="dxa" w:w="2100"/>
            <w:shd w:fill="F4F7F9"/>
            <w:tcMar>
              <w:top w:w="100" w:type="dxa"/>
              <w:start w:w="120" w:type="dxa"/>
              <w:bottom w:w="100" w:type="dxa"/>
              <w:end w:w="120" w:type="dxa"/>
            </w:tcMar>
            <w:vAlign w:val="center"/>
          </w:tcPr>
          <w:p>
            <w:pPr>
              <w:spacing w:after="0" w:line="252" w:lineRule="auto"/>
            </w:pPr>
            <w:r>
              <w:rPr>
                <w:rFonts w:ascii="Aptos" w:hAnsi="Aptos"/>
                <w:b/>
                <w:i w:val="0"/>
                <w:color w:val="102534"/>
                <w:sz w:val="17"/>
              </w:rPr>
              <w:t>Regional risk</w:t>
            </w:r>
          </w:p>
        </w:tc>
        <w:tc>
          <w:tcPr>
            <w:tcW w:type="dxa" w:w="35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Probability of a published event within a defined horizon</w:t>
            </w:r>
          </w:p>
        </w:tc>
        <w:tc>
          <w:tcPr>
            <w:tcW w:type="dxa" w:w="37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Nodal loading or headroom</w:t>
            </w:r>
          </w:p>
        </w:tc>
      </w:tr>
      <w:tr>
        <w:tc>
          <w:tcPr>
            <w:tcW w:type="dxa" w:w="2100"/>
            <w:tcMar>
              <w:top w:w="100" w:type="dxa"/>
              <w:start w:w="120" w:type="dxa"/>
              <w:bottom w:w="100" w:type="dxa"/>
              <w:end w:w="120" w:type="dxa"/>
            </w:tcMar>
            <w:vAlign w:val="center"/>
          </w:tcPr>
          <w:p>
            <w:pPr>
              <w:spacing w:after="0" w:line="252" w:lineRule="auto"/>
            </w:pPr>
            <w:r>
              <w:rPr>
                <w:rFonts w:ascii="Aptos" w:hAnsi="Aptos"/>
                <w:b/>
                <w:i w:val="0"/>
                <w:color w:val="102534"/>
                <w:sz w:val="17"/>
              </w:rPr>
              <w:t>Synthetic flexibility</w:t>
            </w:r>
          </w:p>
        </w:tc>
        <w:tc>
          <w:tcPr>
            <w:tcW w:type="dxa" w:w="3500"/>
            <w:tcMar>
              <w:top w:w="100" w:type="dxa"/>
              <w:start w:w="120" w:type="dxa"/>
              <w:bottom w:w="100" w:type="dxa"/>
              <w:end w:w="120" w:type="dxa"/>
            </w:tcMar>
            <w:vAlign w:val="center"/>
          </w:tcPr>
          <w:p>
            <w:pPr>
              <w:spacing w:after="0" w:line="252" w:lineRule="auto"/>
            </w:pPr>
            <w:r>
              <w:rPr>
                <w:rFonts w:ascii="Aptos" w:hAnsi="Aptos"/>
                <w:b w:val="0"/>
                <w:i w:val="0"/>
                <w:color w:val="102534"/>
                <w:sz w:val="17"/>
              </w:rPr>
              <w:t>Comparative behavior under explicit mock envelopes</w:t>
            </w:r>
          </w:p>
        </w:tc>
        <w:tc>
          <w:tcPr>
            <w:tcW w:type="dxa" w:w="3760"/>
            <w:tcMar>
              <w:top w:w="100" w:type="dxa"/>
              <w:start w:w="120" w:type="dxa"/>
              <w:bottom w:w="100" w:type="dxa"/>
              <w:end w:w="120" w:type="dxa"/>
            </w:tcMar>
            <w:vAlign w:val="center"/>
          </w:tcPr>
          <w:p>
            <w:pPr>
              <w:spacing w:after="0" w:line="252" w:lineRule="auto"/>
            </w:pPr>
            <w:r>
              <w:rPr>
                <w:rFonts w:ascii="Aptos" w:hAnsi="Aptos"/>
                <w:b w:val="0"/>
                <w:i w:val="0"/>
                <w:color w:val="102534"/>
                <w:sz w:val="17"/>
              </w:rPr>
              <w:t>Real Berlin or Brandenburg network result</w:t>
            </w:r>
          </w:p>
        </w:tc>
      </w:tr>
      <w:tr>
        <w:tc>
          <w:tcPr>
            <w:tcW w:type="dxa" w:w="2100"/>
            <w:shd w:fill="F4F7F9"/>
            <w:tcMar>
              <w:top w:w="100" w:type="dxa"/>
              <w:start w:w="120" w:type="dxa"/>
              <w:bottom w:w="100" w:type="dxa"/>
              <w:end w:w="120" w:type="dxa"/>
            </w:tcMar>
            <w:vAlign w:val="center"/>
          </w:tcPr>
          <w:p>
            <w:pPr>
              <w:spacing w:after="0" w:line="252" w:lineRule="auto"/>
            </w:pPr>
            <w:r>
              <w:rPr>
                <w:rFonts w:ascii="Aptos" w:hAnsi="Aptos"/>
                <w:b/>
                <w:i w:val="0"/>
                <w:color w:val="102534"/>
                <w:sz w:val="17"/>
              </w:rPr>
              <w:t>Operator-confirmed capacity</w:t>
            </w:r>
          </w:p>
        </w:tc>
        <w:tc>
          <w:tcPr>
            <w:tcW w:type="dxa" w:w="35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Operator-reviewed firm or conditional MW</w:t>
            </w:r>
          </w:p>
        </w:tc>
        <w:tc>
          <w:tcPr>
            <w:tcW w:type="dxa" w:w="37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Available until explicit operator evidence exists</w:t>
            </w:r>
          </w:p>
        </w:tc>
      </w:tr>
    </w:tbl>
    <w:p>
      <w:pPr>
        <w:spacing w:after="40"/>
      </w:pPr>
    </w:p>
    <w:p>
      <w:pPr>
        <w:pStyle w:val="Heading1"/>
        <w:keepNext/>
        <w:pageBreakBefore/>
      </w:pPr>
      <w:r>
        <w:rPr>
          <w:rFonts w:ascii="Aptos" w:hAnsi="Aptos"/>
          <w:b/>
          <w:i w:val="0"/>
          <w:color w:val="071A2B"/>
          <w:sz w:val="42"/>
        </w:rPr>
        <w:t>3. End-to-end technical system</w:t>
      </w:r>
    </w:p>
    <w:p>
      <w:pPr>
        <w:jc w:val="center"/>
      </w:pPr>
      <w:r>
        <w:drawing>
          <wp:inline xmlns:a="http://schemas.openxmlformats.org/drawingml/2006/main" xmlns:pic="http://schemas.openxmlformats.org/drawingml/2006/picture">
            <wp:extent cx="5989320" cy="3327400"/>
            <wp:docPr id="2" name="Picture 2"/>
            <wp:cNvGraphicFramePr>
              <a:graphicFrameLocks noChangeAspect="1"/>
            </wp:cNvGraphicFramePr>
            <a:graphic>
              <a:graphicData uri="http://schemas.openxmlformats.org/drawingml/2006/picture">
                <pic:pic>
                  <pic:nvPicPr>
                    <pic:cNvPr id="0" name="system_flow.png"/>
                    <pic:cNvPicPr/>
                  </pic:nvPicPr>
                  <pic:blipFill>
                    <a:blip r:embed="rId12"/>
                    <a:stretch>
                      <a:fillRect/>
                    </a:stretch>
                  </pic:blipFill>
                  <pic:spPr>
                    <a:xfrm>
                      <a:off x="0" y="0"/>
                      <a:ext cx="5989320" cy="3327400"/>
                    </a:xfrm>
                    <a:prstGeom prst="rect"/>
                  </pic:spPr>
                </pic:pic>
              </a:graphicData>
            </a:graphic>
          </wp:inline>
        </w:drawing>
      </w:r>
    </w:p>
    <w:p>
      <w:pPr>
        <w:keepNext w:val="0"/>
        <w:spacing w:before="0" w:after="200" w:line="278" w:lineRule="auto"/>
        <w:jc w:val="center"/>
      </w:pPr>
      <w:r>
        <w:rPr>
          <w:rFonts w:ascii="Aptos" w:hAnsi="Aptos"/>
          <w:b w:val="0"/>
          <w:i/>
          <w:color w:val="5D7385"/>
          <w:sz w:val="17"/>
        </w:rPr>
        <w:t>Figure 2. Real public evidence and synthetic electrical studies remain separate until a controlled operator-validation path is available.</w:t>
      </w:r>
    </w:p>
    <w:p>
      <w:pPr>
        <w:pStyle w:val="Heading2"/>
        <w:keepNext/>
        <w:pageBreakBefore w:val="0"/>
      </w:pPr>
      <w:r>
        <w:rPr>
          <w:rFonts w:ascii="Aptos" w:hAnsi="Aptos"/>
          <w:b/>
          <w:i w:val="0"/>
          <w:color w:val="0D2A42"/>
          <w:sz w:val="28"/>
        </w:rPr>
        <w:t>3.1 Immutable evidence capture</w:t>
      </w:r>
    </w:p>
    <w:p>
      <w:pPr>
        <w:keepNext w:val="0"/>
        <w:spacing w:before="0" w:after="140" w:line="278" w:lineRule="auto"/>
        <w:jc w:val="left"/>
      </w:pPr>
      <w:r>
        <w:rPr>
          <w:rFonts w:ascii="Aptos" w:hAnsi="Aptos"/>
          <w:b w:val="0"/>
          <w:i w:val="0"/>
          <w:color w:val="102534"/>
          <w:sz w:val="21"/>
        </w:rPr>
        <w:t>Downloads are staged locally, hashed, copied atomically to a OneDrive-backed research store and read back for verification. Raw payloads, normalized records, features, models, predictions and simulations occupy separate namespaces. Retrieval observations are preserved even when the underlying payload hash is identical.</w:t>
      </w:r>
    </w:p>
    <w:tbl>
      <w:tblPr>
        <w:tblStyle w:val="TableGrid"/>
        <w:tblW w:type="dxa" w:w="9360"/>
        <w:jc w:val="center"/>
        <w:tblLayout w:type="fixed"/>
        <w:tblLook w:firstColumn="1" w:firstRow="1" w:lastColumn="0" w:lastRow="0" w:noHBand="0" w:noVBand="1" w:val="04A0"/>
        <w:tblLayout w:type="fixed"/>
      </w:tblPr>
      <w:tblGrid>
        <w:gridCol w:w="2700"/>
        <w:gridCol w:w="6660"/>
      </w:tblGrid>
      <w:tr>
        <w:trPr>
          <w:tblHeader w:val="true"/>
        </w:trPr>
        <w:tc>
          <w:tcPr>
            <w:tcW w:type="dxa" w:w="2700"/>
            <w:shd w:fill="0D2A42"/>
            <w:tcMar>
              <w:top w:w="100" w:type="dxa"/>
              <w:start w:w="120" w:type="dxa"/>
              <w:bottom w:w="100" w:type="dxa"/>
              <w:end w:w="120" w:type="dxa"/>
            </w:tcMar>
            <w:vAlign w:val="center"/>
          </w:tcPr>
          <w:p>
            <w:r>
              <w:rPr>
                <w:rFonts w:ascii="Aptos" w:hAnsi="Aptos"/>
                <w:b/>
                <w:i w:val="0"/>
                <w:color w:val="FFFFFF"/>
                <w:sz w:val="17"/>
              </w:rPr>
              <w:t>Control</w:t>
            </w:r>
          </w:p>
        </w:tc>
        <w:tc>
          <w:tcPr>
            <w:tcW w:type="dxa" w:w="6660"/>
            <w:shd w:fill="0D2A42"/>
            <w:tcMar>
              <w:top w:w="100" w:type="dxa"/>
              <w:start w:w="120" w:type="dxa"/>
              <w:bottom w:w="100" w:type="dxa"/>
              <w:end w:w="120" w:type="dxa"/>
            </w:tcMar>
            <w:vAlign w:val="center"/>
          </w:tcPr>
          <w:p>
            <w:r>
              <w:rPr>
                <w:rFonts w:ascii="Aptos" w:hAnsi="Aptos"/>
                <w:b/>
                <w:i w:val="0"/>
                <w:color w:val="FFFFFF"/>
                <w:sz w:val="17"/>
              </w:rPr>
              <w:t>Purpose</w:t>
            </w:r>
          </w:p>
        </w:tc>
      </w:tr>
      <w:tr>
        <w:tc>
          <w:tcPr>
            <w:tcW w:type="dxa" w:w="2700"/>
            <w:tcMar>
              <w:top w:w="100" w:type="dxa"/>
              <w:start w:w="120" w:type="dxa"/>
              <w:bottom w:w="100" w:type="dxa"/>
              <w:end w:w="120" w:type="dxa"/>
            </w:tcMar>
            <w:vAlign w:val="center"/>
          </w:tcPr>
          <w:p>
            <w:pPr>
              <w:spacing w:after="0" w:line="252" w:lineRule="auto"/>
            </w:pPr>
            <w:r>
              <w:rPr>
                <w:rFonts w:ascii="Aptos" w:hAnsi="Aptos"/>
                <w:b/>
                <w:i w:val="0"/>
                <w:color w:val="102534"/>
                <w:sz w:val="18"/>
              </w:rPr>
              <w:t>SHA-256 content addressing</w:t>
            </w:r>
          </w:p>
        </w:tc>
        <w:tc>
          <w:tcPr>
            <w:tcW w:type="dxa" w:w="6660"/>
            <w:tcMar>
              <w:top w:w="100" w:type="dxa"/>
              <w:start w:w="120" w:type="dxa"/>
              <w:bottom w:w="100" w:type="dxa"/>
              <w:end w:w="120" w:type="dxa"/>
            </w:tcMar>
            <w:vAlign w:val="center"/>
          </w:tcPr>
          <w:p>
            <w:pPr>
              <w:spacing w:after="0" w:line="252" w:lineRule="auto"/>
            </w:pPr>
            <w:r>
              <w:rPr>
                <w:rFonts w:ascii="Aptos" w:hAnsi="Aptos"/>
                <w:b w:val="0"/>
                <w:i w:val="0"/>
                <w:color w:val="102534"/>
                <w:sz w:val="18"/>
              </w:rPr>
              <w:t>Detect mutation and avoid duplicate physical payloads</w:t>
            </w:r>
          </w:p>
        </w:tc>
      </w:tr>
      <w:tr>
        <w:tc>
          <w:tcPr>
            <w:tcW w:type="dxa" w:w="27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Retrieval manifest</w:t>
            </w:r>
          </w:p>
        </w:tc>
        <w:tc>
          <w:tcPr>
            <w:tcW w:type="dxa" w:w="66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Preserve URL, retrieval time, request parameters and limitations</w:t>
            </w:r>
          </w:p>
        </w:tc>
      </w:tr>
      <w:tr>
        <w:tc>
          <w:tcPr>
            <w:tcW w:type="dxa" w:w="2700"/>
            <w:tcMar>
              <w:top w:w="100" w:type="dxa"/>
              <w:start w:w="120" w:type="dxa"/>
              <w:bottom w:w="100" w:type="dxa"/>
              <w:end w:w="120" w:type="dxa"/>
            </w:tcMar>
            <w:vAlign w:val="center"/>
          </w:tcPr>
          <w:p>
            <w:pPr>
              <w:spacing w:after="0" w:line="252" w:lineRule="auto"/>
            </w:pPr>
            <w:r>
              <w:rPr>
                <w:rFonts w:ascii="Aptos" w:hAnsi="Aptos"/>
                <w:b/>
                <w:i w:val="0"/>
                <w:color w:val="102534"/>
                <w:sz w:val="18"/>
              </w:rPr>
              <w:t>Raw/normalized separation</w:t>
            </w:r>
          </w:p>
        </w:tc>
        <w:tc>
          <w:tcPr>
            <w:tcW w:type="dxa" w:w="6660"/>
            <w:tcMar>
              <w:top w:w="100" w:type="dxa"/>
              <w:start w:w="120" w:type="dxa"/>
              <w:bottom w:w="100" w:type="dxa"/>
              <w:end w:w="120" w:type="dxa"/>
            </w:tcMar>
            <w:vAlign w:val="center"/>
          </w:tcPr>
          <w:p>
            <w:pPr>
              <w:spacing w:after="0" w:line="252" w:lineRule="auto"/>
            </w:pPr>
            <w:r>
              <w:rPr>
                <w:rFonts w:ascii="Aptos" w:hAnsi="Aptos"/>
                <w:b w:val="0"/>
                <w:i w:val="0"/>
                <w:color w:val="102534"/>
                <w:sz w:val="18"/>
              </w:rPr>
              <w:t>Prevent a transformation from overwriting source evidence</w:t>
            </w:r>
          </w:p>
        </w:tc>
      </w:tr>
      <w:tr>
        <w:tc>
          <w:tcPr>
            <w:tcW w:type="dxa" w:w="27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OneDrive durable root</w:t>
            </w:r>
          </w:p>
        </w:tc>
        <w:tc>
          <w:tcPr>
            <w:tcW w:type="dxa" w:w="66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Keep large research data out of Git and synchronized to Microsoft cloud storage</w:t>
            </w:r>
          </w:p>
        </w:tc>
      </w:tr>
      <w:tr>
        <w:tc>
          <w:tcPr>
            <w:tcW w:type="dxa" w:w="2700"/>
            <w:tcMar>
              <w:top w:w="100" w:type="dxa"/>
              <w:start w:w="120" w:type="dxa"/>
              <w:bottom w:w="100" w:type="dxa"/>
              <w:end w:w="120" w:type="dxa"/>
            </w:tcMar>
            <w:vAlign w:val="center"/>
          </w:tcPr>
          <w:p>
            <w:pPr>
              <w:spacing w:after="0" w:line="252" w:lineRule="auto"/>
            </w:pPr>
            <w:r>
              <w:rPr>
                <w:rFonts w:ascii="Aptos" w:hAnsi="Aptos"/>
                <w:b/>
                <w:i w:val="0"/>
                <w:color w:val="102534"/>
                <w:sz w:val="18"/>
              </w:rPr>
              <w:t>Local disposable work root</w:t>
            </w:r>
          </w:p>
        </w:tc>
        <w:tc>
          <w:tcPr>
            <w:tcW w:type="dxa" w:w="6660"/>
            <w:tcMar>
              <w:top w:w="100" w:type="dxa"/>
              <w:start w:w="120" w:type="dxa"/>
              <w:bottom w:w="100" w:type="dxa"/>
              <w:end w:w="120" w:type="dxa"/>
            </w:tcMar>
            <w:vAlign w:val="center"/>
          </w:tcPr>
          <w:p>
            <w:pPr>
              <w:spacing w:after="0" w:line="252" w:lineRule="auto"/>
            </w:pPr>
            <w:r>
              <w:rPr>
                <w:rFonts w:ascii="Aptos" w:hAnsi="Aptos"/>
                <w:b w:val="0"/>
                <w:i w:val="0"/>
                <w:color w:val="102534"/>
                <w:sz w:val="18"/>
              </w:rPr>
              <w:t>Keep temporary downloads, caches and active databases out of cloud sync</w:t>
            </w:r>
          </w:p>
        </w:tc>
      </w:tr>
    </w:tbl>
    <w:p>
      <w:pPr>
        <w:spacing w:after="40"/>
      </w:pPr>
    </w:p>
    <w:p>
      <w:pPr>
        <w:pStyle w:val="Heading2"/>
        <w:keepNext/>
        <w:pageBreakBefore w:val="0"/>
      </w:pPr>
      <w:r>
        <w:rPr>
          <w:rFonts w:ascii="Aptos" w:hAnsi="Aptos"/>
          <w:b/>
          <w:i w:val="0"/>
          <w:color w:val="0D2A42"/>
          <w:sz w:val="28"/>
        </w:rPr>
        <w:t>3.2 Admission before modelling</w:t>
      </w:r>
    </w:p>
    <w:p>
      <w:pPr>
        <w:keepNext w:val="0"/>
        <w:spacing w:before="0" w:after="140" w:line="278" w:lineRule="auto"/>
        <w:jc w:val="left"/>
      </w:pPr>
      <w:r>
        <w:rPr>
          <w:rFonts w:ascii="Aptos" w:hAnsi="Aptos"/>
          <w:b w:val="0"/>
          <w:i w:val="0"/>
          <w:color w:val="102534"/>
          <w:sz w:val="21"/>
        </w:rPr>
        <w:t>Availability is not the same as admissibility. A source must establish its publisher, geographic resolution, units, timestamp semantics, revision behavior, missing-versus-zero meaning, licence and allowed uses. If any decisive field cannot be validated, training fails closed.</w:t>
      </w:r>
    </w:p>
    <w:p>
      <w:pPr>
        <w:pStyle w:val="Heading1"/>
        <w:keepNext/>
        <w:pageBreakBefore/>
      </w:pPr>
      <w:r>
        <w:rPr>
          <w:rFonts w:ascii="Aptos" w:hAnsi="Aptos"/>
          <w:b/>
          <w:i w:val="0"/>
          <w:color w:val="071A2B"/>
          <w:sz w:val="42"/>
        </w:rPr>
        <w:t>4. Publication-time-aware regional constraint modelling</w:t>
      </w:r>
    </w:p>
    <w:p>
      <w:pPr>
        <w:pStyle w:val="Heading2"/>
        <w:keepNext/>
        <w:pageBreakBefore w:val="0"/>
      </w:pPr>
      <w:r>
        <w:rPr>
          <w:rFonts w:ascii="Aptos" w:hAnsi="Aptos"/>
          <w:b/>
          <w:i w:val="0"/>
          <w:color w:val="0D2A42"/>
          <w:sz w:val="28"/>
        </w:rPr>
        <w:t>4.1 Canonical event contract</w:t>
      </w:r>
    </w:p>
    <w:p>
      <w:pPr>
        <w:keepNext w:val="0"/>
        <w:spacing w:before="0" w:after="140" w:line="278" w:lineRule="auto"/>
        <w:jc w:val="left"/>
      </w:pPr>
      <w:r>
        <w:rPr>
          <w:rFonts w:ascii="Aptos" w:hAnsi="Aptos"/>
          <w:b w:val="0"/>
          <w:i w:val="0"/>
          <w:color w:val="102534"/>
          <w:sz w:val="21"/>
        </w:rPr>
        <w:t>The canonical event schema retains source and event identifiers, every observed revision, retrieval and publication times, effective interval, operator, control area, region, affected assets and geography, event type, direction, MW/MWh, reason, status, geographic resolution, identity confidence, truth class, source URL, snapshot hash and validation warnings. Unknown MW and unknown geography remain null.</w:t>
      </w:r>
    </w:p>
    <w:p>
      <w:pPr>
        <w:jc w:val="center"/>
      </w:pPr>
      <w:r>
        <w:drawing>
          <wp:inline xmlns:a="http://schemas.openxmlformats.org/drawingml/2006/main" xmlns:pic="http://schemas.openxmlformats.org/drawingml/2006/picture">
            <wp:extent cx="5989320" cy="2162810"/>
            <wp:docPr id="3" name="Picture 3"/>
            <wp:cNvGraphicFramePr>
              <a:graphicFrameLocks noChangeAspect="1"/>
            </wp:cNvGraphicFramePr>
            <a:graphic>
              <a:graphicData uri="http://schemas.openxmlformats.org/drawingml/2006/picture">
                <pic:pic>
                  <pic:nvPicPr>
                    <pic:cNvPr id="0" name="publication_timeline.png"/>
                    <pic:cNvPicPr/>
                  </pic:nvPicPr>
                  <pic:blipFill>
                    <a:blip r:embed="rId13"/>
                    <a:stretch>
                      <a:fillRect/>
                    </a:stretch>
                  </pic:blipFill>
                  <pic:spPr>
                    <a:xfrm>
                      <a:off x="0" y="0"/>
                      <a:ext cx="5989320" cy="2162810"/>
                    </a:xfrm>
                    <a:prstGeom prst="rect"/>
                  </pic:spPr>
                </pic:pic>
              </a:graphicData>
            </a:graphic>
          </wp:inline>
        </w:drawing>
      </w:r>
    </w:p>
    <w:p>
      <w:pPr>
        <w:keepNext w:val="0"/>
        <w:spacing w:before="0" w:after="200" w:line="278" w:lineRule="auto"/>
        <w:jc w:val="center"/>
      </w:pPr>
      <w:r>
        <w:rPr>
          <w:rFonts w:ascii="Aptos" w:hAnsi="Aptos"/>
          <w:b w:val="0"/>
          <w:i/>
          <w:color w:val="5D7385"/>
          <w:sz w:val="17"/>
        </w:rPr>
        <w:t>Figure 3. Historical predictions use the latest revision actually published by the issue time; later corrections are excluded.</w:t>
      </w:r>
    </w:p>
    <w:p>
      <w:pPr>
        <w:pStyle w:val="Heading2"/>
        <w:keepNext/>
        <w:pageBreakBefore w:val="0"/>
      </w:pPr>
      <w:r>
        <w:rPr>
          <w:rFonts w:ascii="Aptos" w:hAnsi="Aptos"/>
          <w:b/>
          <w:i w:val="0"/>
          <w:color w:val="0D2A42"/>
          <w:sz w:val="28"/>
        </w:rPr>
        <w:t>4.2 Hourly dataset</w:t>
      </w:r>
    </w:p>
    <w:p>
      <w:pPr>
        <w:keepNext w:val="0"/>
        <w:spacing w:before="0" w:after="140" w:line="278" w:lineRule="auto"/>
        <w:jc w:val="left"/>
      </w:pPr>
      <w:r>
        <w:rPr>
          <w:rFonts w:ascii="Aptos" w:hAnsi="Aptos"/>
          <w:b w:val="0"/>
          <w:i w:val="0"/>
          <w:color w:val="102534"/>
          <w:sz w:val="21"/>
        </w:rPr>
        <w:t>The current experimental dataset covers the 50Hertz control area from 7 October 2021 through mid-August 2026. Targets represent future non-zero published redispatch intervals, not national-load percentiles. Features are restricted to information available by the forecast issue time.</w:t>
      </w:r>
    </w:p>
    <w:tbl>
      <w:tblPr>
        <w:tblStyle w:val="TableGrid"/>
        <w:tblW w:type="dxa" w:w="9360"/>
        <w:jc w:val="center"/>
        <w:tblLayout w:type="fixed"/>
        <w:tblLook w:firstColumn="1" w:firstRow="1" w:lastColumn="0" w:lastRow="0" w:noHBand="0" w:noVBand="1" w:val="04A0"/>
        <w:tblLayout w:type="fixed"/>
      </w:tblPr>
      <w:tblGrid>
        <w:gridCol w:w="1800"/>
        <w:gridCol w:w="2200"/>
        <w:gridCol w:w="2500"/>
        <w:gridCol w:w="2860"/>
      </w:tblGrid>
      <w:tr>
        <w:trPr>
          <w:tblHeader w:val="true"/>
        </w:trPr>
        <w:tc>
          <w:tcPr>
            <w:tcW w:type="dxa" w:w="1800"/>
            <w:shd w:fill="0D2A42"/>
            <w:tcMar>
              <w:top w:w="100" w:type="dxa"/>
              <w:start w:w="120" w:type="dxa"/>
              <w:bottom w:w="100" w:type="dxa"/>
              <w:end w:w="120" w:type="dxa"/>
            </w:tcMar>
            <w:vAlign w:val="center"/>
          </w:tcPr>
          <w:p>
            <w:r>
              <w:rPr>
                <w:rFonts w:ascii="Aptos" w:hAnsi="Aptos"/>
                <w:b/>
                <w:i w:val="0"/>
                <w:color w:val="FFFFFF"/>
                <w:sz w:val="17"/>
              </w:rPr>
              <w:t>Forecast horizon</w:t>
            </w:r>
          </w:p>
        </w:tc>
        <w:tc>
          <w:tcPr>
            <w:tcW w:type="dxa" w:w="2200"/>
            <w:shd w:fill="0D2A42"/>
            <w:tcMar>
              <w:top w:w="100" w:type="dxa"/>
              <w:start w:w="120" w:type="dxa"/>
              <w:bottom w:w="100" w:type="dxa"/>
              <w:end w:w="120" w:type="dxa"/>
            </w:tcMar>
            <w:vAlign w:val="center"/>
          </w:tcPr>
          <w:p>
            <w:r>
              <w:rPr>
                <w:rFonts w:ascii="Aptos" w:hAnsi="Aptos"/>
                <w:b/>
                <w:i w:val="0"/>
                <w:color w:val="FFFFFF"/>
                <w:sz w:val="17"/>
              </w:rPr>
              <w:t>Rows</w:t>
            </w:r>
          </w:p>
        </w:tc>
        <w:tc>
          <w:tcPr>
            <w:tcW w:type="dxa" w:w="2500"/>
            <w:shd w:fill="0D2A42"/>
            <w:tcMar>
              <w:top w:w="100" w:type="dxa"/>
              <w:start w:w="120" w:type="dxa"/>
              <w:bottom w:w="100" w:type="dxa"/>
              <w:end w:w="120" w:type="dxa"/>
            </w:tcMar>
            <w:vAlign w:val="center"/>
          </w:tcPr>
          <w:p>
            <w:r>
              <w:rPr>
                <w:rFonts w:ascii="Aptos" w:hAnsi="Aptos"/>
                <w:b/>
                <w:i w:val="0"/>
                <w:color w:val="FFFFFF"/>
                <w:sz w:val="17"/>
              </w:rPr>
              <w:t>Positive targets</w:t>
            </w:r>
          </w:p>
        </w:tc>
        <w:tc>
          <w:tcPr>
            <w:tcW w:type="dxa" w:w="2860"/>
            <w:shd w:fill="0D2A42"/>
            <w:tcMar>
              <w:top w:w="100" w:type="dxa"/>
              <w:start w:w="120" w:type="dxa"/>
              <w:bottom w:w="100" w:type="dxa"/>
              <w:end w:w="120" w:type="dxa"/>
            </w:tcMar>
            <w:vAlign w:val="center"/>
          </w:tcPr>
          <w:p>
            <w:r>
              <w:rPr>
                <w:rFonts w:ascii="Aptos" w:hAnsi="Aptos"/>
                <w:b/>
                <w:i w:val="0"/>
                <w:color w:val="FFFFFF"/>
                <w:sz w:val="17"/>
              </w:rPr>
              <w:t>Rows with missing features</w:t>
            </w:r>
          </w:p>
        </w:tc>
      </w:tr>
      <w:tr>
        <w:tc>
          <w:tcPr>
            <w:tcW w:type="dxa" w:w="1800"/>
            <w:tcMar>
              <w:top w:w="100" w:type="dxa"/>
              <w:start w:w="120" w:type="dxa"/>
              <w:bottom w:w="100" w:type="dxa"/>
              <w:end w:w="120" w:type="dxa"/>
            </w:tcMar>
            <w:vAlign w:val="center"/>
          </w:tcPr>
          <w:p>
            <w:pPr>
              <w:spacing w:after="0" w:line="252" w:lineRule="auto"/>
            </w:pPr>
            <w:r>
              <w:rPr>
                <w:rFonts w:ascii="Aptos" w:hAnsi="Aptos"/>
                <w:b/>
                <w:i w:val="0"/>
                <w:color w:val="102534"/>
                <w:sz w:val="18"/>
              </w:rPr>
              <w:t>1 hour</w:t>
            </w:r>
          </w:p>
        </w:tc>
        <w:tc>
          <w:tcPr>
            <w:tcW w:type="dxa" w:w="2200"/>
            <w:tcMar>
              <w:top w:w="100" w:type="dxa"/>
              <w:start w:w="120" w:type="dxa"/>
              <w:bottom w:w="100" w:type="dxa"/>
              <w:end w:w="120" w:type="dxa"/>
            </w:tcMar>
            <w:vAlign w:val="center"/>
          </w:tcPr>
          <w:p>
            <w:pPr>
              <w:spacing w:after="0" w:line="252" w:lineRule="auto"/>
            </w:pPr>
            <w:r>
              <w:rPr>
                <w:rFonts w:ascii="Aptos" w:hAnsi="Aptos"/>
                <w:b w:val="0"/>
                <w:i w:val="0"/>
                <w:color w:val="102534"/>
                <w:sz w:val="18"/>
              </w:rPr>
              <w:t>42,576</w:t>
            </w:r>
          </w:p>
        </w:tc>
        <w:tc>
          <w:tcPr>
            <w:tcW w:type="dxa" w:w="2500"/>
            <w:tcMar>
              <w:top w:w="100" w:type="dxa"/>
              <w:start w:w="120" w:type="dxa"/>
              <w:bottom w:w="100" w:type="dxa"/>
              <w:end w:w="120" w:type="dxa"/>
            </w:tcMar>
            <w:vAlign w:val="center"/>
          </w:tcPr>
          <w:p>
            <w:pPr>
              <w:spacing w:after="0" w:line="252" w:lineRule="auto"/>
            </w:pPr>
            <w:r>
              <w:rPr>
                <w:rFonts w:ascii="Aptos" w:hAnsi="Aptos"/>
                <w:b w:val="0"/>
                <w:i w:val="0"/>
                <w:color w:val="102534"/>
                <w:sz w:val="18"/>
              </w:rPr>
              <w:t>10,307</w:t>
            </w:r>
          </w:p>
        </w:tc>
        <w:tc>
          <w:tcPr>
            <w:tcW w:type="dxa" w:w="2860"/>
            <w:tcMar>
              <w:top w:w="100" w:type="dxa"/>
              <w:start w:w="120" w:type="dxa"/>
              <w:bottom w:w="100" w:type="dxa"/>
              <w:end w:w="120" w:type="dxa"/>
            </w:tcMar>
            <w:vAlign w:val="center"/>
          </w:tcPr>
          <w:p>
            <w:pPr>
              <w:spacing w:after="0" w:line="252" w:lineRule="auto"/>
            </w:pPr>
            <w:r>
              <w:rPr>
                <w:rFonts w:ascii="Aptos" w:hAnsi="Aptos"/>
                <w:b w:val="0"/>
                <w:i w:val="0"/>
                <w:color w:val="102534"/>
                <w:sz w:val="18"/>
              </w:rPr>
              <w:t>8,615</w:t>
            </w:r>
          </w:p>
        </w:tc>
      </w:tr>
      <w:tr>
        <w:tc>
          <w:tcPr>
            <w:tcW w:type="dxa" w:w="18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6 hours</w:t>
            </w:r>
          </w:p>
        </w:tc>
        <w:tc>
          <w:tcPr>
            <w:tcW w:type="dxa" w:w="22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42,571</w:t>
            </w:r>
          </w:p>
        </w:tc>
        <w:tc>
          <w:tcPr>
            <w:tcW w:type="dxa" w:w="25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15,148</w:t>
            </w:r>
          </w:p>
        </w:tc>
        <w:tc>
          <w:tcPr>
            <w:tcW w:type="dxa" w:w="28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8,614</w:t>
            </w:r>
          </w:p>
        </w:tc>
      </w:tr>
      <w:tr>
        <w:tc>
          <w:tcPr>
            <w:tcW w:type="dxa" w:w="1800"/>
            <w:tcMar>
              <w:top w:w="100" w:type="dxa"/>
              <w:start w:w="120" w:type="dxa"/>
              <w:bottom w:w="100" w:type="dxa"/>
              <w:end w:w="120" w:type="dxa"/>
            </w:tcMar>
            <w:vAlign w:val="center"/>
          </w:tcPr>
          <w:p>
            <w:pPr>
              <w:spacing w:after="0" w:line="252" w:lineRule="auto"/>
            </w:pPr>
            <w:r>
              <w:rPr>
                <w:rFonts w:ascii="Aptos" w:hAnsi="Aptos"/>
                <w:b/>
                <w:i w:val="0"/>
                <w:color w:val="102534"/>
                <w:sz w:val="18"/>
              </w:rPr>
              <w:t>24 hours</w:t>
            </w:r>
          </w:p>
        </w:tc>
        <w:tc>
          <w:tcPr>
            <w:tcW w:type="dxa" w:w="2200"/>
            <w:tcMar>
              <w:top w:w="100" w:type="dxa"/>
              <w:start w:w="120" w:type="dxa"/>
              <w:bottom w:w="100" w:type="dxa"/>
              <w:end w:w="120" w:type="dxa"/>
            </w:tcMar>
            <w:vAlign w:val="center"/>
          </w:tcPr>
          <w:p>
            <w:pPr>
              <w:spacing w:after="0" w:line="252" w:lineRule="auto"/>
            </w:pPr>
            <w:r>
              <w:rPr>
                <w:rFonts w:ascii="Aptos" w:hAnsi="Aptos"/>
                <w:b w:val="0"/>
                <w:i w:val="0"/>
                <w:color w:val="102534"/>
                <w:sz w:val="18"/>
              </w:rPr>
              <w:t>42,553</w:t>
            </w:r>
          </w:p>
        </w:tc>
        <w:tc>
          <w:tcPr>
            <w:tcW w:type="dxa" w:w="2500"/>
            <w:tcMar>
              <w:top w:w="100" w:type="dxa"/>
              <w:start w:w="120" w:type="dxa"/>
              <w:bottom w:w="100" w:type="dxa"/>
              <w:end w:w="120" w:type="dxa"/>
            </w:tcMar>
            <w:vAlign w:val="center"/>
          </w:tcPr>
          <w:p>
            <w:pPr>
              <w:spacing w:after="0" w:line="252" w:lineRule="auto"/>
            </w:pPr>
            <w:r>
              <w:rPr>
                <w:rFonts w:ascii="Aptos" w:hAnsi="Aptos"/>
                <w:b w:val="0"/>
                <w:i w:val="0"/>
                <w:color w:val="102534"/>
                <w:sz w:val="18"/>
              </w:rPr>
              <w:t>25,738</w:t>
            </w:r>
          </w:p>
        </w:tc>
        <w:tc>
          <w:tcPr>
            <w:tcW w:type="dxa" w:w="2860"/>
            <w:tcMar>
              <w:top w:w="100" w:type="dxa"/>
              <w:start w:w="120" w:type="dxa"/>
              <w:bottom w:w="100" w:type="dxa"/>
              <w:end w:w="120" w:type="dxa"/>
            </w:tcMar>
            <w:vAlign w:val="center"/>
          </w:tcPr>
          <w:p>
            <w:pPr>
              <w:spacing w:after="0" w:line="252" w:lineRule="auto"/>
            </w:pPr>
            <w:r>
              <w:rPr>
                <w:rFonts w:ascii="Aptos" w:hAnsi="Aptos"/>
                <w:b w:val="0"/>
                <w:i w:val="0"/>
                <w:color w:val="102534"/>
                <w:sz w:val="18"/>
              </w:rPr>
              <w:t>8,613</w:t>
            </w:r>
          </w:p>
        </w:tc>
      </w:tr>
      <w:tr>
        <w:tc>
          <w:tcPr>
            <w:tcW w:type="dxa" w:w="18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48 hours</w:t>
            </w:r>
          </w:p>
        </w:tc>
        <w:tc>
          <w:tcPr>
            <w:tcW w:type="dxa" w:w="22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42,529</w:t>
            </w:r>
          </w:p>
        </w:tc>
        <w:tc>
          <w:tcPr>
            <w:tcW w:type="dxa" w:w="25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31,849</w:t>
            </w:r>
          </w:p>
        </w:tc>
        <w:tc>
          <w:tcPr>
            <w:tcW w:type="dxa" w:w="28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8,610</w:t>
            </w:r>
          </w:p>
        </w:tc>
      </w:tr>
    </w:tbl>
    <w:p>
      <w:pPr>
        <w:spacing w:after="40"/>
      </w:pPr>
    </w:p>
    <w:p>
      <w:pPr>
        <w:pStyle w:val="Heading2"/>
        <w:keepNext/>
        <w:pageBreakBefore w:val="0"/>
      </w:pPr>
      <w:r>
        <w:rPr>
          <w:rFonts w:ascii="Aptos" w:hAnsi="Aptos"/>
          <w:b/>
          <w:i w:val="0"/>
          <w:color w:val="0D2A42"/>
          <w:sz w:val="28"/>
        </w:rPr>
        <w:t>4.3 Models and validation</w:t>
      </w:r>
    </w:p>
    <w:p>
      <w:pPr>
        <w:keepNext w:val="0"/>
        <w:spacing w:before="0" w:after="140" w:line="278" w:lineRule="auto"/>
        <w:jc w:val="left"/>
      </w:pPr>
      <w:r>
        <w:rPr>
          <w:rFonts w:ascii="Aptos" w:hAnsi="Aptos"/>
          <w:b w:val="0"/>
          <w:i w:val="0"/>
          <w:color w:val="102534"/>
          <w:sz w:val="21"/>
        </w:rPr>
        <w:t>Transparent baselines precede more complex methods: historical event rate, seasonal/calendar rate, logistic regression and a regularized tree baseline. Calibration is fitted only on periods before the held-out period. Whole years are held out in rolling origin; random temporal splits are prohibited.</w:t>
      </w:r>
    </w:p>
    <w:p>
      <w:pPr>
        <w:pStyle w:val="ListBullet"/>
        <w:spacing w:after="80" w:line="269" w:lineRule="auto"/>
      </w:pPr>
      <w:r>
        <w:rPr>
          <w:rFonts w:ascii="Aptos" w:hAnsi="Aptos"/>
          <w:b w:val="0"/>
          <w:i w:val="0"/>
          <w:color w:val="102534"/>
          <w:sz w:val="20"/>
        </w:rPr>
        <w:t>Primary rare-event metrics: precision, recall, false-negative rate and PR-AUC.</w:t>
      </w:r>
    </w:p>
    <w:p>
      <w:pPr>
        <w:pStyle w:val="ListBullet"/>
        <w:spacing w:after="80" w:line="269" w:lineRule="auto"/>
      </w:pPr>
      <w:r>
        <w:rPr>
          <w:rFonts w:ascii="Aptos" w:hAnsi="Aptos"/>
          <w:b w:val="0"/>
          <w:i w:val="0"/>
          <w:color w:val="102534"/>
          <w:sz w:val="20"/>
        </w:rPr>
        <w:t>Probability quality: Brier score, calibration error and reliability analysis.</w:t>
      </w:r>
    </w:p>
    <w:p>
      <w:pPr>
        <w:pStyle w:val="ListBullet"/>
        <w:spacing w:after="80" w:line="269" w:lineRule="auto"/>
      </w:pPr>
      <w:r>
        <w:rPr>
          <w:rFonts w:ascii="Aptos" w:hAnsi="Aptos"/>
          <w:b w:val="0"/>
          <w:i w:val="0"/>
          <w:color w:val="102534"/>
          <w:sz w:val="20"/>
        </w:rPr>
        <w:t>Robustness views: year, season, region/operator, lead time and missing-source periods.</w:t>
      </w:r>
    </w:p>
    <w:p>
      <w:pPr>
        <w:keepNext w:val="0"/>
        <w:spacing w:before="0" w:after="160" w:line="278" w:lineRule="auto"/>
        <w:jc w:val="left"/>
      </w:pPr>
      <w:r>
        <w:rPr>
          <w:rFonts w:ascii="Aptos" w:hAnsi="Aptos"/>
          <w:b w:val="0"/>
          <w:i/>
          <w:color w:val="5D7385"/>
          <w:sz w:val="19"/>
        </w:rPr>
        <w:t>Current interpretation: one- and six-hour yearly precision is comparatively stable in the experimental run, while 24- and 48-hour precision varies materially. Complete publisher-side revision retention, deletion semantics and reuse permission are unresolved, so operational release is not justified.</w:t>
      </w:r>
    </w:p>
    <w:p>
      <w:pPr>
        <w:pStyle w:val="Heading1"/>
        <w:keepNext/>
        <w:pageBreakBefore/>
      </w:pPr>
      <w:r>
        <w:rPr>
          <w:rFonts w:ascii="Aptos" w:hAnsi="Aptos"/>
          <w:b/>
          <w:i w:val="0"/>
          <w:color w:val="071A2B"/>
          <w:sz w:val="42"/>
        </w:rPr>
        <w:t>5. Public data foundation</w:t>
      </w:r>
    </w:p>
    <w:tbl>
      <w:tblPr>
        <w:tblStyle w:val="TableGrid"/>
        <w:tblW w:type="dxa" w:w="9360"/>
        <w:jc w:val="center"/>
        <w:tblLayout w:type="fixed"/>
        <w:tblLook w:firstColumn="1" w:firstRow="1" w:lastColumn="0" w:lastRow="0" w:noHBand="0" w:noVBand="1" w:val="04A0"/>
        <w:tblLayout w:type="fixed"/>
      </w:tblPr>
      <w:tblGrid>
        <w:gridCol w:w="1900"/>
        <w:gridCol w:w="2800"/>
        <w:gridCol w:w="1800"/>
        <w:gridCol w:w="2860"/>
      </w:tblGrid>
      <w:tr>
        <w:trPr>
          <w:tblHeader w:val="true"/>
        </w:trPr>
        <w:tc>
          <w:tcPr>
            <w:tcW w:type="dxa" w:w="1900"/>
            <w:shd w:fill="0D2A42"/>
            <w:tcMar>
              <w:top w:w="100" w:type="dxa"/>
              <w:start w:w="120" w:type="dxa"/>
              <w:bottom w:w="100" w:type="dxa"/>
              <w:end w:w="120" w:type="dxa"/>
            </w:tcMar>
            <w:vAlign w:val="center"/>
          </w:tcPr>
          <w:p>
            <w:r>
              <w:rPr>
                <w:rFonts w:ascii="Aptos" w:hAnsi="Aptos"/>
                <w:b/>
                <w:i w:val="0"/>
                <w:color w:val="FFFFFF"/>
                <w:sz w:val="17"/>
              </w:rPr>
              <w:t>Source</w:t>
            </w:r>
          </w:p>
        </w:tc>
        <w:tc>
          <w:tcPr>
            <w:tcW w:type="dxa" w:w="2800"/>
            <w:shd w:fill="0D2A42"/>
            <w:tcMar>
              <w:top w:w="100" w:type="dxa"/>
              <w:start w:w="120" w:type="dxa"/>
              <w:bottom w:w="100" w:type="dxa"/>
              <w:end w:w="120" w:type="dxa"/>
            </w:tcMar>
            <w:vAlign w:val="center"/>
          </w:tcPr>
          <w:p>
            <w:r>
              <w:rPr>
                <w:rFonts w:ascii="Aptos" w:hAnsi="Aptos"/>
                <w:b/>
                <w:i w:val="0"/>
                <w:color w:val="FFFFFF"/>
                <w:sz w:val="17"/>
              </w:rPr>
              <w:t>What GridPulse uses</w:t>
            </w:r>
          </w:p>
        </w:tc>
        <w:tc>
          <w:tcPr>
            <w:tcW w:type="dxa" w:w="1800"/>
            <w:shd w:fill="0D2A42"/>
            <w:tcMar>
              <w:top w:w="100" w:type="dxa"/>
              <w:start w:w="120" w:type="dxa"/>
              <w:bottom w:w="100" w:type="dxa"/>
              <w:end w:w="120" w:type="dxa"/>
            </w:tcMar>
            <w:vAlign w:val="center"/>
          </w:tcPr>
          <w:p>
            <w:r>
              <w:rPr>
                <w:rFonts w:ascii="Aptos" w:hAnsi="Aptos"/>
                <w:b/>
                <w:i w:val="0"/>
                <w:color w:val="FFFFFF"/>
                <w:sz w:val="17"/>
              </w:rPr>
              <w:t>Resolution</w:t>
            </w:r>
          </w:p>
        </w:tc>
        <w:tc>
          <w:tcPr>
            <w:tcW w:type="dxa" w:w="2860"/>
            <w:shd w:fill="0D2A42"/>
            <w:tcMar>
              <w:top w:w="100" w:type="dxa"/>
              <w:start w:w="120" w:type="dxa"/>
              <w:bottom w:w="100" w:type="dxa"/>
              <w:end w:w="120" w:type="dxa"/>
            </w:tcMar>
            <w:vAlign w:val="center"/>
          </w:tcPr>
          <w:p>
            <w:r>
              <w:rPr>
                <w:rFonts w:ascii="Aptos" w:hAnsi="Aptos"/>
                <w:b/>
                <w:i w:val="0"/>
                <w:color w:val="FFFFFF"/>
                <w:sz w:val="17"/>
              </w:rPr>
              <w:t>Current limitation</w:t>
            </w:r>
          </w:p>
        </w:tc>
      </w:tr>
      <w:tr>
        <w:tc>
          <w:tcPr>
            <w:tcW w:type="dxa" w:w="1900"/>
            <w:tcMar>
              <w:top w:w="100" w:type="dxa"/>
              <w:start w:w="120" w:type="dxa"/>
              <w:bottom w:w="100" w:type="dxa"/>
              <w:end w:w="120" w:type="dxa"/>
            </w:tcMar>
            <w:vAlign w:val="center"/>
          </w:tcPr>
          <w:p>
            <w:pPr>
              <w:spacing w:after="0" w:line="252" w:lineRule="auto"/>
            </w:pPr>
            <w:r>
              <w:rPr>
                <w:rFonts w:ascii="Aptos" w:hAnsi="Aptos"/>
                <w:b/>
                <w:i w:val="0"/>
                <w:color w:val="102534"/>
                <w:sz w:val="17"/>
              </w:rPr>
              <w:t>50Hertz congestion management</w:t>
            </w:r>
          </w:p>
        </w:tc>
        <w:tc>
          <w:tcPr>
            <w:tcW w:type="dxa" w:w="2800"/>
            <w:tcMar>
              <w:top w:w="100" w:type="dxa"/>
              <w:start w:w="120" w:type="dxa"/>
              <w:bottom w:w="100" w:type="dxa"/>
              <w:end w:w="120" w:type="dxa"/>
            </w:tcMar>
            <w:vAlign w:val="center"/>
          </w:tcPr>
          <w:p>
            <w:pPr>
              <w:spacing w:after="0" w:line="252" w:lineRule="auto"/>
            </w:pPr>
            <w:r>
              <w:rPr>
                <w:rFonts w:ascii="Aptos" w:hAnsi="Aptos"/>
                <w:b w:val="0"/>
                <w:i w:val="0"/>
                <w:color w:val="102534"/>
                <w:sz w:val="17"/>
              </w:rPr>
              <w:t>Quarter-hour increase/reduction and revision chains</w:t>
            </w:r>
          </w:p>
        </w:tc>
        <w:tc>
          <w:tcPr>
            <w:tcW w:type="dxa" w:w="1800"/>
            <w:tcMar>
              <w:top w:w="100" w:type="dxa"/>
              <w:start w:w="120" w:type="dxa"/>
              <w:bottom w:w="100" w:type="dxa"/>
              <w:end w:w="120" w:type="dxa"/>
            </w:tcMar>
            <w:vAlign w:val="center"/>
          </w:tcPr>
          <w:p>
            <w:pPr>
              <w:spacing w:after="0" w:line="252" w:lineRule="auto"/>
            </w:pPr>
            <w:r>
              <w:rPr>
                <w:rFonts w:ascii="Aptos" w:hAnsi="Aptos"/>
                <w:b w:val="0"/>
                <w:i w:val="0"/>
                <w:color w:val="102534"/>
                <w:sz w:val="17"/>
              </w:rPr>
              <w:t>TSO control area</w:t>
            </w:r>
          </w:p>
        </w:tc>
        <w:tc>
          <w:tcPr>
            <w:tcW w:type="dxa" w:w="2860"/>
            <w:tcMar>
              <w:top w:w="100" w:type="dxa"/>
              <w:start w:w="120" w:type="dxa"/>
              <w:bottom w:w="100" w:type="dxa"/>
              <w:end w:w="120" w:type="dxa"/>
            </w:tcMar>
            <w:vAlign w:val="center"/>
          </w:tcPr>
          <w:p>
            <w:pPr>
              <w:spacing w:after="0" w:line="252" w:lineRule="auto"/>
            </w:pPr>
            <w:r>
              <w:rPr>
                <w:rFonts w:ascii="Aptos" w:hAnsi="Aptos"/>
                <w:b w:val="0"/>
                <w:i w:val="0"/>
                <w:color w:val="102534"/>
                <w:sz w:val="17"/>
              </w:rPr>
              <w:t>Not nodal; archive completeness and reuse unresolved</w:t>
            </w:r>
          </w:p>
        </w:tc>
      </w:tr>
      <w:tr>
        <w:tc>
          <w:tcPr>
            <w:tcW w:type="dxa" w:w="1900"/>
            <w:shd w:fill="F4F7F9"/>
            <w:tcMar>
              <w:top w:w="100" w:type="dxa"/>
              <w:start w:w="120" w:type="dxa"/>
              <w:bottom w:w="100" w:type="dxa"/>
              <w:end w:w="120" w:type="dxa"/>
            </w:tcMar>
            <w:vAlign w:val="center"/>
          </w:tcPr>
          <w:p>
            <w:pPr>
              <w:spacing w:after="0" w:line="252" w:lineRule="auto"/>
            </w:pPr>
            <w:r>
              <w:rPr>
                <w:rFonts w:ascii="Aptos" w:hAnsi="Aptos"/>
                <w:b/>
                <w:i w:val="0"/>
                <w:color w:val="102534"/>
                <w:sz w:val="17"/>
              </w:rPr>
              <w:t>50Hertz outages</w:t>
            </w:r>
          </w:p>
        </w:tc>
        <w:tc>
          <w:tcPr>
            <w:tcW w:type="dxa" w:w="28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Published event versions and named assets</w:t>
            </w:r>
          </w:p>
        </w:tc>
        <w:tc>
          <w:tcPr>
            <w:tcW w:type="dxa" w:w="18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Transmission asset/context</w:t>
            </w:r>
          </w:p>
        </w:tc>
        <w:tc>
          <w:tcPr>
            <w:tcW w:type="dxa" w:w="28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Rolling feed is not a complete historical archive</w:t>
            </w:r>
          </w:p>
        </w:tc>
      </w:tr>
      <w:tr>
        <w:tc>
          <w:tcPr>
            <w:tcW w:type="dxa" w:w="1900"/>
            <w:tcMar>
              <w:top w:w="100" w:type="dxa"/>
              <w:start w:w="120" w:type="dxa"/>
              <w:bottom w:w="100" w:type="dxa"/>
              <w:end w:w="120" w:type="dxa"/>
            </w:tcMar>
            <w:vAlign w:val="center"/>
          </w:tcPr>
          <w:p>
            <w:pPr>
              <w:spacing w:after="0" w:line="252" w:lineRule="auto"/>
            </w:pPr>
            <w:r>
              <w:rPr>
                <w:rFonts w:ascii="Aptos" w:hAnsi="Aptos"/>
                <w:b/>
                <w:i w:val="0"/>
                <w:color w:val="102534"/>
                <w:sz w:val="17"/>
              </w:rPr>
              <w:t>50Hertz vertical load</w:t>
            </w:r>
          </w:p>
        </w:tc>
        <w:tc>
          <w:tcPr>
            <w:tcW w:type="dxa" w:w="2800"/>
            <w:tcMar>
              <w:top w:w="100" w:type="dxa"/>
              <w:start w:w="120" w:type="dxa"/>
              <w:bottom w:w="100" w:type="dxa"/>
              <w:end w:w="120" w:type="dxa"/>
            </w:tcMar>
            <w:vAlign w:val="center"/>
          </w:tcPr>
          <w:p>
            <w:pPr>
              <w:spacing w:after="0" w:line="252" w:lineRule="auto"/>
            </w:pPr>
            <w:r>
              <w:rPr>
                <w:rFonts w:ascii="Aptos" w:hAnsi="Aptos"/>
                <w:b w:val="0"/>
                <w:i w:val="0"/>
                <w:color w:val="102534"/>
                <w:sz w:val="17"/>
              </w:rPr>
              <w:t>2012-partial 2026 quarter-hour MW</w:t>
            </w:r>
          </w:p>
        </w:tc>
        <w:tc>
          <w:tcPr>
            <w:tcW w:type="dxa" w:w="1800"/>
            <w:tcMar>
              <w:top w:w="100" w:type="dxa"/>
              <w:start w:w="120" w:type="dxa"/>
              <w:bottom w:w="100" w:type="dxa"/>
              <w:end w:w="120" w:type="dxa"/>
            </w:tcMar>
            <w:vAlign w:val="center"/>
          </w:tcPr>
          <w:p>
            <w:pPr>
              <w:spacing w:after="0" w:line="252" w:lineRule="auto"/>
            </w:pPr>
            <w:r>
              <w:rPr>
                <w:rFonts w:ascii="Aptos" w:hAnsi="Aptos"/>
                <w:b w:val="0"/>
                <w:i w:val="0"/>
                <w:color w:val="102534"/>
                <w:sz w:val="17"/>
              </w:rPr>
              <w:t>TSO control area</w:t>
            </w:r>
          </w:p>
        </w:tc>
        <w:tc>
          <w:tcPr>
            <w:tcW w:type="dxa" w:w="2860"/>
            <w:tcMar>
              <w:top w:w="100" w:type="dxa"/>
              <w:start w:w="120" w:type="dxa"/>
              <w:bottom w:w="100" w:type="dxa"/>
              <w:end w:w="120" w:type="dxa"/>
            </w:tcMar>
            <w:vAlign w:val="center"/>
          </w:tcPr>
          <w:p>
            <w:pPr>
              <w:spacing w:after="0" w:line="252" w:lineRule="auto"/>
            </w:pPr>
            <w:r>
              <w:rPr>
                <w:rFonts w:ascii="Aptos" w:hAnsi="Aptos"/>
                <w:b w:val="0"/>
                <w:i w:val="0"/>
                <w:color w:val="102534"/>
                <w:sz w:val="17"/>
              </w:rPr>
              <w:t>DST folds, missing intervals, publication timing</w:t>
            </w:r>
          </w:p>
        </w:tc>
      </w:tr>
      <w:tr>
        <w:tc>
          <w:tcPr>
            <w:tcW w:type="dxa" w:w="1900"/>
            <w:shd w:fill="F4F7F9"/>
            <w:tcMar>
              <w:top w:w="100" w:type="dxa"/>
              <w:start w:w="120" w:type="dxa"/>
              <w:bottom w:w="100" w:type="dxa"/>
              <w:end w:w="120" w:type="dxa"/>
            </w:tcMar>
            <w:vAlign w:val="center"/>
          </w:tcPr>
          <w:p>
            <w:pPr>
              <w:spacing w:after="0" w:line="252" w:lineRule="auto"/>
            </w:pPr>
            <w:r>
              <w:rPr>
                <w:rFonts w:ascii="Aptos" w:hAnsi="Aptos"/>
                <w:b/>
                <w:i w:val="0"/>
                <w:color w:val="102534"/>
                <w:sz w:val="17"/>
              </w:rPr>
              <w:t>ENTSO-E Transparency</w:t>
            </w:r>
          </w:p>
        </w:tc>
        <w:tc>
          <w:tcPr>
            <w:tcW w:type="dxa" w:w="28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DE-LU load/generation and latest event documents</w:t>
            </w:r>
          </w:p>
        </w:tc>
        <w:tc>
          <w:tcPr>
            <w:tcW w:type="dxa" w:w="18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Bidding zone / published asset</w:t>
            </w:r>
          </w:p>
        </w:tc>
        <w:tc>
          <w:tcPr>
            <w:tcW w:type="dxa" w:w="28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Superseded document reconstruction not proven</w:t>
            </w:r>
          </w:p>
        </w:tc>
      </w:tr>
      <w:tr>
        <w:tc>
          <w:tcPr>
            <w:tcW w:type="dxa" w:w="1900"/>
            <w:tcMar>
              <w:top w:w="100" w:type="dxa"/>
              <w:start w:w="120" w:type="dxa"/>
              <w:bottom w:w="100" w:type="dxa"/>
              <w:end w:w="120" w:type="dxa"/>
            </w:tcMar>
            <w:vAlign w:val="center"/>
          </w:tcPr>
          <w:p>
            <w:pPr>
              <w:spacing w:after="0" w:line="252" w:lineRule="auto"/>
            </w:pPr>
            <w:r>
              <w:rPr>
                <w:rFonts w:ascii="Aptos" w:hAnsi="Aptos"/>
                <w:b/>
                <w:i w:val="0"/>
                <w:color w:val="102534"/>
                <w:sz w:val="17"/>
              </w:rPr>
              <w:t>DWD</w:t>
            </w:r>
          </w:p>
        </w:tc>
        <w:tc>
          <w:tcPr>
            <w:tcW w:type="dxa" w:w="2800"/>
            <w:tcMar>
              <w:top w:w="100" w:type="dxa"/>
              <w:start w:w="120" w:type="dxa"/>
              <w:bottom w:w="100" w:type="dxa"/>
              <w:end w:w="120" w:type="dxa"/>
            </w:tcMar>
            <w:vAlign w:val="center"/>
          </w:tcPr>
          <w:p>
            <w:pPr>
              <w:spacing w:after="0" w:line="252" w:lineRule="auto"/>
            </w:pPr>
            <w:r>
              <w:rPr>
                <w:rFonts w:ascii="Aptos" w:hAnsi="Aptos"/>
                <w:b w:val="0"/>
                <w:i w:val="0"/>
                <w:color w:val="102534"/>
                <w:sz w:val="17"/>
              </w:rPr>
              <w:t>Historical weather observations and past-only lags</w:t>
            </w:r>
          </w:p>
        </w:tc>
        <w:tc>
          <w:tcPr>
            <w:tcW w:type="dxa" w:w="1800"/>
            <w:tcMar>
              <w:top w:w="100" w:type="dxa"/>
              <w:start w:w="120" w:type="dxa"/>
              <w:bottom w:w="100" w:type="dxa"/>
              <w:end w:w="120" w:type="dxa"/>
            </w:tcMar>
            <w:vAlign w:val="center"/>
          </w:tcPr>
          <w:p>
            <w:pPr>
              <w:spacing w:after="0" w:line="252" w:lineRule="auto"/>
            </w:pPr>
            <w:r>
              <w:rPr>
                <w:rFonts w:ascii="Aptos" w:hAnsi="Aptos"/>
                <w:b w:val="0"/>
                <w:i w:val="0"/>
                <w:color w:val="102534"/>
                <w:sz w:val="17"/>
              </w:rPr>
              <w:t>Station / gridded context</w:t>
            </w:r>
          </w:p>
        </w:tc>
        <w:tc>
          <w:tcPr>
            <w:tcW w:type="dxa" w:w="2860"/>
            <w:tcMar>
              <w:top w:w="100" w:type="dxa"/>
              <w:start w:w="120" w:type="dxa"/>
              <w:bottom w:w="100" w:type="dxa"/>
              <w:end w:w="120" w:type="dxa"/>
            </w:tcMar>
            <w:vAlign w:val="center"/>
          </w:tcPr>
          <w:p>
            <w:pPr>
              <w:spacing w:after="0" w:line="252" w:lineRule="auto"/>
            </w:pPr>
            <w:r>
              <w:rPr>
                <w:rFonts w:ascii="Aptos" w:hAnsi="Aptos"/>
                <w:b w:val="0"/>
                <w:i w:val="0"/>
                <w:color w:val="102534"/>
                <w:sz w:val="17"/>
              </w:rPr>
              <w:t>Not grid loading or capacity</w:t>
            </w:r>
          </w:p>
        </w:tc>
      </w:tr>
      <w:tr>
        <w:tc>
          <w:tcPr>
            <w:tcW w:type="dxa" w:w="1900"/>
            <w:shd w:fill="F4F7F9"/>
            <w:tcMar>
              <w:top w:w="100" w:type="dxa"/>
              <w:start w:w="120" w:type="dxa"/>
              <w:bottom w:w="100" w:type="dxa"/>
              <w:end w:w="120" w:type="dxa"/>
            </w:tcMar>
            <w:vAlign w:val="center"/>
          </w:tcPr>
          <w:p>
            <w:pPr>
              <w:spacing w:after="0" w:line="252" w:lineRule="auto"/>
            </w:pPr>
            <w:r>
              <w:rPr>
                <w:rFonts w:ascii="Aptos" w:hAnsi="Aptos"/>
                <w:b/>
                <w:i w:val="0"/>
                <w:color w:val="102534"/>
                <w:sz w:val="17"/>
              </w:rPr>
              <w:t>SMARD / Bundesnetzagentur</w:t>
            </w:r>
          </w:p>
        </w:tc>
        <w:tc>
          <w:tcPr>
            <w:tcW w:type="dxa" w:w="28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National market and redispatch context</w:t>
            </w:r>
          </w:p>
        </w:tc>
        <w:tc>
          <w:tcPr>
            <w:tcW w:type="dxa" w:w="18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Germany / bidding zone</w:t>
            </w:r>
          </w:p>
        </w:tc>
        <w:tc>
          <w:tcPr>
            <w:tcW w:type="dxa" w:w="28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Not local network truth</w:t>
            </w:r>
          </w:p>
        </w:tc>
      </w:tr>
      <w:tr>
        <w:tc>
          <w:tcPr>
            <w:tcW w:type="dxa" w:w="1900"/>
            <w:tcMar>
              <w:top w:w="100" w:type="dxa"/>
              <w:start w:w="120" w:type="dxa"/>
              <w:bottom w:w="100" w:type="dxa"/>
              <w:end w:w="120" w:type="dxa"/>
            </w:tcMar>
            <w:vAlign w:val="center"/>
          </w:tcPr>
          <w:p>
            <w:pPr>
              <w:spacing w:after="0" w:line="252" w:lineRule="auto"/>
            </w:pPr>
            <w:r>
              <w:rPr>
                <w:rFonts w:ascii="Aptos" w:hAnsi="Aptos"/>
                <w:b/>
                <w:i w:val="0"/>
                <w:color w:val="102534"/>
                <w:sz w:val="17"/>
              </w:rPr>
              <w:t>DSO publications</w:t>
            </w:r>
          </w:p>
        </w:tc>
        <w:tc>
          <w:tcPr>
            <w:tcW w:type="dxa" w:w="2800"/>
            <w:tcMar>
              <w:top w:w="100" w:type="dxa"/>
              <w:start w:w="120" w:type="dxa"/>
              <w:bottom w:w="100" w:type="dxa"/>
              <w:end w:w="120" w:type="dxa"/>
            </w:tcMar>
            <w:vAlign w:val="center"/>
          </w:tcPr>
          <w:p>
            <w:pPr>
              <w:spacing w:after="0" w:line="252" w:lineRule="auto"/>
            </w:pPr>
            <w:r>
              <w:rPr>
                <w:rFonts w:ascii="Aptos" w:hAnsi="Aptos"/>
                <w:b w:val="0"/>
                <w:i w:val="0"/>
                <w:color w:val="102534"/>
                <w:sz w:val="17"/>
              </w:rPr>
              <w:t>Planning, procedures and reinforcement context</w:t>
            </w:r>
          </w:p>
        </w:tc>
        <w:tc>
          <w:tcPr>
            <w:tcW w:type="dxa" w:w="1800"/>
            <w:tcMar>
              <w:top w:w="100" w:type="dxa"/>
              <w:start w:w="120" w:type="dxa"/>
              <w:bottom w:w="100" w:type="dxa"/>
              <w:end w:w="120" w:type="dxa"/>
            </w:tcMar>
            <w:vAlign w:val="center"/>
          </w:tcPr>
          <w:p>
            <w:pPr>
              <w:spacing w:after="0" w:line="252" w:lineRule="auto"/>
            </w:pPr>
            <w:r>
              <w:rPr>
                <w:rFonts w:ascii="Aptos" w:hAnsi="Aptos"/>
                <w:b w:val="0"/>
                <w:i w:val="0"/>
                <w:color w:val="102534"/>
                <w:sz w:val="17"/>
              </w:rPr>
              <w:t>Service area / named plan</w:t>
            </w:r>
          </w:p>
        </w:tc>
        <w:tc>
          <w:tcPr>
            <w:tcW w:type="dxa" w:w="2860"/>
            <w:tcMar>
              <w:top w:w="100" w:type="dxa"/>
              <w:start w:w="120" w:type="dxa"/>
              <w:bottom w:w="100" w:type="dxa"/>
              <w:end w:w="120" w:type="dxa"/>
            </w:tcMar>
            <w:vAlign w:val="center"/>
          </w:tcPr>
          <w:p>
            <w:pPr>
              <w:spacing w:after="0" w:line="252" w:lineRule="auto"/>
            </w:pPr>
            <w:r>
              <w:rPr>
                <w:rFonts w:ascii="Aptos" w:hAnsi="Aptos"/>
                <w:b w:val="0"/>
                <w:i w:val="0"/>
                <w:color w:val="102534"/>
                <w:sz w:val="17"/>
              </w:rPr>
              <w:t>No loading, queues or confirmed headroom</w:t>
            </w:r>
          </w:p>
        </w:tc>
      </w:tr>
    </w:tbl>
    <w:p>
      <w:pPr>
        <w:spacing w:after="40"/>
      </w:pPr>
    </w:p>
    <w:p>
      <w:pPr>
        <w:keepNext w:val="0"/>
        <w:spacing w:before="0" w:after="140" w:line="278" w:lineRule="auto"/>
        <w:jc w:val="left"/>
      </w:pPr>
      <w:r>
        <w:rPr>
          <w:rFonts w:ascii="Aptos" w:hAnsi="Aptos"/>
          <w:b w:val="0"/>
          <w:i w:val="0"/>
          <w:color w:val="102534"/>
          <w:sz w:val="21"/>
        </w:rPr>
        <w:t>The strongest current real dataset is the 50Hertz congestion-management history: 171,160 unique quarter-hours from 28 September 2021 to 16 August 2026, with 37,612 intervals whose final revision exceeds one. This supports control-area constraint research, not a Berlin-node model.</w:t>
      </w:r>
    </w:p>
    <w:p>
      <w:pPr>
        <w:pStyle w:val="Heading1"/>
        <w:keepNext/>
        <w:pageBreakBefore/>
      </w:pPr>
      <w:r>
        <w:rPr>
          <w:rFonts w:ascii="Aptos" w:hAnsi="Aptos"/>
          <w:b/>
          <w:i w:val="0"/>
          <w:color w:val="071A2B"/>
          <w:sz w:val="42"/>
        </w:rPr>
        <w:t>6. Synthetic AC network benchmark</w:t>
      </w:r>
    </w:p>
    <w:p>
      <w:pPr>
        <w:pStyle w:val="Heading2"/>
        <w:keepNext/>
        <w:pageBreakBefore w:val="0"/>
      </w:pPr>
      <w:r>
        <w:rPr>
          <w:rFonts w:ascii="Aptos" w:hAnsi="Aptos"/>
          <w:b/>
          <w:i w:val="0"/>
          <w:color w:val="0D2A42"/>
          <w:sz w:val="28"/>
        </w:rPr>
        <w:t>6.1 Why synthetic networks are necessary</w:t>
      </w:r>
    </w:p>
    <w:p>
      <w:pPr>
        <w:keepNext w:val="0"/>
        <w:spacing w:before="0" w:after="140" w:line="278" w:lineRule="auto"/>
        <w:jc w:val="left"/>
      </w:pPr>
      <w:r>
        <w:rPr>
          <w:rFonts w:ascii="Aptos" w:hAnsi="Aptos"/>
          <w:b w:val="0"/>
          <w:i w:val="0"/>
          <w:color w:val="102534"/>
          <w:sz w:val="21"/>
        </w:rPr>
        <w:t>Real operator topology and operating states are unavailable. GridPulse therefore uses explicitly labelled synthetic networks to validate the mechanics of candidate ranking, AC power flow, contingency selection, uncertainty and flexibility. Public map features provide geographic anchors only; electrical impedances, ratings and loading remain mock parameters.</w:t>
      </w:r>
    </w:p>
    <w:p>
      <w:pPr>
        <w:pStyle w:val="Heading2"/>
        <w:keepNext/>
        <w:pageBreakBefore w:val="0"/>
      </w:pPr>
      <w:r>
        <w:rPr>
          <w:rFonts w:ascii="Aptos" w:hAnsi="Aptos"/>
          <w:b/>
          <w:i w:val="0"/>
          <w:color w:val="0D2A42"/>
          <w:sz w:val="28"/>
        </w:rPr>
        <w:t>6.2 Electrical method</w:t>
      </w:r>
    </w:p>
    <w:p>
      <w:pPr>
        <w:keepNext w:val="0"/>
        <w:spacing w:before="0" w:after="140" w:line="278" w:lineRule="auto"/>
        <w:jc w:val="left"/>
      </w:pPr>
      <w:r>
        <w:rPr>
          <w:rFonts w:ascii="Aptos" w:hAnsi="Aptos"/>
          <w:b w:val="0"/>
          <w:i w:val="0"/>
          <w:color w:val="102534"/>
          <w:sz w:val="21"/>
        </w:rPr>
        <w:t>The benchmark spans eight connected network families and 15 non-slack candidates. For each operating scenario and candidate, pandapower solves AC N-0 and N-1 cases and checks convergence, islanding, bus voltage and equipment thermal limits. Graph algorithms may select likely contingencies, but only the power-flow solver calculates synthetic MW. Exhaustive N-1 cases remain the audit truth.</w:t>
      </w:r>
    </w:p>
    <w:tbl>
      <w:tblPr>
        <w:tblStyle w:val="TableGrid"/>
        <w:tblW w:type="dxa" w:w="9360"/>
        <w:jc w:val="center"/>
        <w:tblLayout w:type="fixed"/>
        <w:tblLook w:firstColumn="1" w:firstRow="1" w:lastColumn="0" w:lastRow="0" w:noHBand="0" w:noVBand="1" w:val="04A0"/>
        <w:tblLayout w:type="fixed"/>
      </w:tblPr>
      <w:tblGrid>
        <w:gridCol w:w="2400"/>
        <w:gridCol w:w="3500"/>
        <w:gridCol w:w="3460"/>
      </w:tblGrid>
      <w:tr>
        <w:trPr>
          <w:tblHeader w:val="true"/>
        </w:trPr>
        <w:tc>
          <w:tcPr>
            <w:tcW w:type="dxa" w:w="2400"/>
            <w:shd w:fill="0D2A42"/>
            <w:tcMar>
              <w:top w:w="100" w:type="dxa"/>
              <w:start w:w="120" w:type="dxa"/>
              <w:bottom w:w="100" w:type="dxa"/>
              <w:end w:w="120" w:type="dxa"/>
            </w:tcMar>
            <w:vAlign w:val="center"/>
          </w:tcPr>
          <w:p>
            <w:r>
              <w:rPr>
                <w:rFonts w:ascii="Aptos" w:hAnsi="Aptos"/>
                <w:b/>
                <w:i w:val="0"/>
                <w:color w:val="FFFFFF"/>
                <w:sz w:val="17"/>
              </w:rPr>
              <w:t>Validation dimension</w:t>
            </w:r>
          </w:p>
        </w:tc>
        <w:tc>
          <w:tcPr>
            <w:tcW w:type="dxa" w:w="3500"/>
            <w:shd w:fill="0D2A42"/>
            <w:tcMar>
              <w:top w:w="100" w:type="dxa"/>
              <w:start w:w="120" w:type="dxa"/>
              <w:bottom w:w="100" w:type="dxa"/>
              <w:end w:w="120" w:type="dxa"/>
            </w:tcMar>
            <w:vAlign w:val="center"/>
          </w:tcPr>
          <w:p>
            <w:r>
              <w:rPr>
                <w:rFonts w:ascii="Aptos" w:hAnsi="Aptos"/>
                <w:b/>
                <w:i w:val="0"/>
                <w:color w:val="FFFFFF"/>
                <w:sz w:val="17"/>
              </w:rPr>
              <w:t>Method</w:t>
            </w:r>
          </w:p>
        </w:tc>
        <w:tc>
          <w:tcPr>
            <w:tcW w:type="dxa" w:w="3460"/>
            <w:shd w:fill="0D2A42"/>
            <w:tcMar>
              <w:top w:w="100" w:type="dxa"/>
              <w:start w:w="120" w:type="dxa"/>
              <w:bottom w:w="100" w:type="dxa"/>
              <w:end w:w="120" w:type="dxa"/>
            </w:tcMar>
            <w:vAlign w:val="center"/>
          </w:tcPr>
          <w:p>
            <w:r>
              <w:rPr>
                <w:rFonts w:ascii="Aptos" w:hAnsi="Aptos"/>
                <w:b/>
                <w:i w:val="0"/>
                <w:color w:val="FFFFFF"/>
                <w:sz w:val="17"/>
              </w:rPr>
              <w:t>Current finding</w:t>
            </w:r>
          </w:p>
        </w:tc>
      </w:tr>
      <w:tr>
        <w:tc>
          <w:tcPr>
            <w:tcW w:type="dxa" w:w="2400"/>
            <w:tcMar>
              <w:top w:w="100" w:type="dxa"/>
              <w:start w:w="120" w:type="dxa"/>
              <w:bottom w:w="100" w:type="dxa"/>
              <w:end w:w="120" w:type="dxa"/>
            </w:tcMar>
            <w:vAlign w:val="center"/>
          </w:tcPr>
          <w:p>
            <w:pPr>
              <w:spacing w:after="0" w:line="252" w:lineRule="auto"/>
            </w:pPr>
            <w:r>
              <w:rPr>
                <w:rFonts w:ascii="Aptos" w:hAnsi="Aptos"/>
                <w:b/>
                <w:i w:val="0"/>
                <w:color w:val="102534"/>
                <w:sz w:val="18"/>
              </w:rPr>
              <w:t>Network generalization</w:t>
            </w:r>
          </w:p>
        </w:tc>
        <w:tc>
          <w:tcPr>
            <w:tcW w:type="dxa" w:w="3500"/>
            <w:tcMar>
              <w:top w:w="100" w:type="dxa"/>
              <w:start w:w="120" w:type="dxa"/>
              <w:bottom w:w="100" w:type="dxa"/>
              <w:end w:w="120" w:type="dxa"/>
            </w:tcMar>
            <w:vAlign w:val="center"/>
          </w:tcPr>
          <w:p>
            <w:pPr>
              <w:spacing w:after="0" w:line="252" w:lineRule="auto"/>
            </w:pPr>
            <w:r>
              <w:rPr>
                <w:rFonts w:ascii="Aptos" w:hAnsi="Aptos"/>
                <w:b w:val="0"/>
                <w:i w:val="0"/>
                <w:color w:val="102534"/>
                <w:sz w:val="18"/>
              </w:rPr>
              <w:t>Leave one network family out</w:t>
            </w:r>
          </w:p>
        </w:tc>
        <w:tc>
          <w:tcPr>
            <w:tcW w:type="dxa" w:w="3460"/>
            <w:tcMar>
              <w:top w:w="100" w:type="dxa"/>
              <w:start w:w="120" w:type="dxa"/>
              <w:bottom w:w="100" w:type="dxa"/>
              <w:end w:w="120" w:type="dxa"/>
            </w:tcMar>
            <w:vAlign w:val="center"/>
          </w:tcPr>
          <w:p>
            <w:pPr>
              <w:spacing w:after="0" w:line="252" w:lineRule="auto"/>
            </w:pPr>
            <w:r>
              <w:rPr>
                <w:rFonts w:ascii="Aptos" w:hAnsi="Aptos"/>
                <w:b w:val="0"/>
                <w:i w:val="0"/>
                <w:color w:val="102534"/>
                <w:sz w:val="18"/>
              </w:rPr>
              <w:t>Implemented across eight families</w:t>
            </w:r>
          </w:p>
        </w:tc>
      </w:tr>
      <w:tr>
        <w:tc>
          <w:tcPr>
            <w:tcW w:type="dxa" w:w="24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Candidate breadth</w:t>
            </w:r>
          </w:p>
        </w:tc>
        <w:tc>
          <w:tcPr>
            <w:tcW w:type="dxa" w:w="35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All 15 non-slack candidates</w:t>
            </w:r>
          </w:p>
        </w:tc>
        <w:tc>
          <w:tcPr>
            <w:tcW w:type="dxa" w:w="34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Exceeds ten-candidate minimum</w:t>
            </w:r>
          </w:p>
        </w:tc>
      </w:tr>
      <w:tr>
        <w:tc>
          <w:tcPr>
            <w:tcW w:type="dxa" w:w="2400"/>
            <w:tcMar>
              <w:top w:w="100" w:type="dxa"/>
              <w:start w:w="120" w:type="dxa"/>
              <w:bottom w:w="100" w:type="dxa"/>
              <w:end w:w="120" w:type="dxa"/>
            </w:tcMar>
            <w:vAlign w:val="center"/>
          </w:tcPr>
          <w:p>
            <w:pPr>
              <w:spacing w:after="0" w:line="252" w:lineRule="auto"/>
            </w:pPr>
            <w:r>
              <w:rPr>
                <w:rFonts w:ascii="Aptos" w:hAnsi="Aptos"/>
                <w:b/>
                <w:i w:val="0"/>
                <w:color w:val="102534"/>
                <w:sz w:val="18"/>
              </w:rPr>
              <w:t>Contingency selection</w:t>
            </w:r>
          </w:p>
        </w:tc>
        <w:tc>
          <w:tcPr>
            <w:tcW w:type="dxa" w:w="3500"/>
            <w:tcMar>
              <w:top w:w="100" w:type="dxa"/>
              <w:start w:w="120" w:type="dxa"/>
              <w:bottom w:w="100" w:type="dxa"/>
              <w:end w:w="120" w:type="dxa"/>
            </w:tcMar>
            <w:vAlign w:val="center"/>
          </w:tcPr>
          <w:p>
            <w:pPr>
              <w:spacing w:after="0" w:line="252" w:lineRule="auto"/>
            </w:pPr>
            <w:r>
              <w:rPr>
                <w:rFonts w:ascii="Aptos" w:hAnsi="Aptos"/>
                <w:b w:val="0"/>
                <w:i w:val="0"/>
                <w:color w:val="102534"/>
                <w:sz w:val="18"/>
              </w:rPr>
              <w:t>Compare selected cases with exhaustive N-1</w:t>
            </w:r>
          </w:p>
        </w:tc>
        <w:tc>
          <w:tcPr>
            <w:tcW w:type="dxa" w:w="3460"/>
            <w:tcMar>
              <w:top w:w="100" w:type="dxa"/>
              <w:start w:w="120" w:type="dxa"/>
              <w:bottom w:w="100" w:type="dxa"/>
              <w:end w:w="120" w:type="dxa"/>
            </w:tcMar>
            <w:vAlign w:val="center"/>
          </w:tcPr>
          <w:p>
            <w:pPr>
              <w:spacing w:after="0" w:line="252" w:lineRule="auto"/>
            </w:pPr>
            <w:r>
              <w:rPr>
                <w:rFonts w:ascii="Aptos" w:hAnsi="Aptos"/>
                <w:b w:val="0"/>
                <w:i w:val="0"/>
                <w:color w:val="102534"/>
                <w:sz w:val="18"/>
              </w:rPr>
              <w:t>V4 recall 100%; 51.21% mean reduction</w:t>
            </w:r>
          </w:p>
        </w:tc>
      </w:tr>
      <w:tr>
        <w:tc>
          <w:tcPr>
            <w:tcW w:type="dxa" w:w="24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Hourly approximation</w:t>
            </w:r>
          </w:p>
        </w:tc>
        <w:tc>
          <w:tcPr>
            <w:tcW w:type="dxa" w:w="35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Compare annual proxy with solved hourly AC</w:t>
            </w:r>
          </w:p>
        </w:tc>
        <w:tc>
          <w:tcPr>
            <w:tcW w:type="dxa" w:w="34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95.83% overstatement; gate failed</w:t>
            </w:r>
          </w:p>
        </w:tc>
      </w:tr>
      <w:tr>
        <w:tc>
          <w:tcPr>
            <w:tcW w:type="dxa" w:w="2400"/>
            <w:tcMar>
              <w:top w:w="100" w:type="dxa"/>
              <w:start w:w="120" w:type="dxa"/>
              <w:bottom w:w="100" w:type="dxa"/>
              <w:end w:w="120" w:type="dxa"/>
            </w:tcMar>
            <w:vAlign w:val="center"/>
          </w:tcPr>
          <w:p>
            <w:pPr>
              <w:spacing w:after="0" w:line="252" w:lineRule="auto"/>
            </w:pPr>
            <w:r>
              <w:rPr>
                <w:rFonts w:ascii="Aptos" w:hAnsi="Aptos"/>
                <w:b/>
                <w:i w:val="0"/>
                <w:color w:val="102534"/>
                <w:sz w:val="18"/>
              </w:rPr>
              <w:t>Truth boundary</w:t>
            </w:r>
          </w:p>
        </w:tc>
        <w:tc>
          <w:tcPr>
            <w:tcW w:type="dxa" w:w="3500"/>
            <w:tcMar>
              <w:top w:w="100" w:type="dxa"/>
              <w:start w:w="120" w:type="dxa"/>
              <w:bottom w:w="100" w:type="dxa"/>
              <w:end w:w="120" w:type="dxa"/>
            </w:tcMar>
            <w:vAlign w:val="center"/>
          </w:tcPr>
          <w:p>
            <w:pPr>
              <w:spacing w:after="0" w:line="252" w:lineRule="auto"/>
            </w:pPr>
            <w:r>
              <w:rPr>
                <w:rFonts w:ascii="Aptos" w:hAnsi="Aptos"/>
                <w:b w:val="0"/>
                <w:i w:val="0"/>
                <w:color w:val="102534"/>
                <w:sz w:val="18"/>
              </w:rPr>
              <w:t>All records synthetic_benchmark</w:t>
            </w:r>
          </w:p>
        </w:tc>
        <w:tc>
          <w:tcPr>
            <w:tcW w:type="dxa" w:w="3460"/>
            <w:tcMar>
              <w:top w:w="100" w:type="dxa"/>
              <w:start w:w="120" w:type="dxa"/>
              <w:bottom w:w="100" w:type="dxa"/>
              <w:end w:w="120" w:type="dxa"/>
            </w:tcMar>
            <w:vAlign w:val="center"/>
          </w:tcPr>
          <w:p>
            <w:pPr>
              <w:spacing w:after="0" w:line="252" w:lineRule="auto"/>
            </w:pPr>
            <w:r>
              <w:rPr>
                <w:rFonts w:ascii="Aptos" w:hAnsi="Aptos"/>
                <w:b w:val="0"/>
                <w:i w:val="0"/>
                <w:color w:val="102534"/>
                <w:sz w:val="18"/>
              </w:rPr>
              <w:t>No real-network or capacity claim</w:t>
            </w:r>
          </w:p>
        </w:tc>
      </w:tr>
    </w:tbl>
    <w:p>
      <w:pPr>
        <w:spacing w:after="40"/>
      </w:pPr>
    </w:p>
    <w:tbl>
      <w:tblPr>
        <w:tblW w:type="dxa" w:w="9360"/>
        <w:jc w:val="center"/>
        <w:tblLayout w:type="fixed"/>
        <w:tblLook w:firstColumn="1" w:firstRow="1" w:lastColumn="0" w:lastRow="0" w:noHBand="0" w:noVBand="1" w:val="04A0"/>
        <w:tblLayout w:type="fixed"/>
      </w:tblPr>
      <w:tblGrid>
        <w:gridCol w:w="9360"/>
      </w:tblGrid>
      <w:tr>
        <w:tc>
          <w:tcPr>
            <w:tcW w:type="dxa" w:w="9360"/>
            <w:tcMar>
              <w:top w:w="100" w:type="dxa"/>
              <w:start w:w="120" w:type="dxa"/>
              <w:bottom w:w="100" w:type="dxa"/>
              <w:end w:w="120" w:type="dxa"/>
            </w:tcMar>
            <w:vAlign w:val="center"/>
            <w:shd w:fill="EAF3F8"/>
          </w:tcPr>
          <w:p>
            <w:pPr>
              <w:spacing w:after="60"/>
            </w:pPr>
            <w:r>
              <w:rPr>
                <w:rFonts w:ascii="Aptos" w:hAnsi="Aptos"/>
                <w:b/>
                <w:i w:val="0"/>
                <w:color w:val="B54747"/>
                <w:sz w:val="16"/>
              </w:rPr>
              <w:t>TECHNICAL LEARNING</w:t>
            </w:r>
          </w:p>
          <w:p>
            <w:pPr>
              <w:spacing w:after="80"/>
            </w:pPr>
            <w:r>
              <w:rPr>
                <w:rFonts w:ascii="Aptos" w:hAnsi="Aptos"/>
                <w:b/>
                <w:i w:val="0"/>
                <w:color w:val="071A2B"/>
                <w:sz w:val="26"/>
              </w:rPr>
              <w:t>A fast proxy is not automatically a safe envelope.</w:t>
            </w:r>
          </w:p>
          <w:p>
            <w:pPr>
              <w:spacing w:after="0" w:line="271" w:lineRule="auto"/>
            </w:pPr>
            <w:r>
              <w:rPr>
                <w:rFonts w:ascii="Aptos" w:hAnsi="Aptos"/>
                <w:b w:val="0"/>
                <w:i w:val="0"/>
                <w:color w:val="102534"/>
                <w:sz w:val="20"/>
              </w:rPr>
              <w:t>The representative hourly audit found a 41.02 MW mean absolute error and 146.01 MW maximum overstatement for the annual-package approximation. The repository correctly blocks this approximation from becoming a flexibility or connection-capacity boundary.</w:t>
            </w:r>
          </w:p>
        </w:tc>
      </w:tr>
    </w:tbl>
    <w:p>
      <w:pPr>
        <w:spacing w:after="20"/>
      </w:pPr>
    </w:p>
    <w:p>
      <w:pPr>
        <w:pStyle w:val="Heading1"/>
        <w:keepNext/>
        <w:pageBreakBefore/>
      </w:pPr>
      <w:r>
        <w:rPr>
          <w:rFonts w:ascii="Aptos" w:hAnsi="Aptos"/>
          <w:b/>
          <w:i w:val="0"/>
          <w:color w:val="071A2B"/>
          <w:sz w:val="42"/>
        </w:rPr>
        <w:t>7. DeFlex: data-centre flexibility under constrained envelopes</w:t>
      </w:r>
    </w:p>
    <w:p>
      <w:pPr>
        <w:pStyle w:val="Heading2"/>
        <w:keepNext/>
        <w:pageBreakBefore w:val="0"/>
      </w:pPr>
      <w:r>
        <w:rPr>
          <w:rFonts w:ascii="Aptos" w:hAnsi="Aptos"/>
          <w:b/>
          <w:i w:val="0"/>
          <w:color w:val="0D2A42"/>
          <w:sz w:val="28"/>
        </w:rPr>
        <w:t>7.1 Modelled resources</w:t>
      </w:r>
    </w:p>
    <w:p>
      <w:pPr>
        <w:keepNext w:val="0"/>
        <w:spacing w:before="0" w:after="140" w:line="278" w:lineRule="auto"/>
        <w:jc w:val="left"/>
      </w:pPr>
      <w:r>
        <w:rPr>
          <w:rFonts w:ascii="Aptos" w:hAnsi="Aptos"/>
          <w:b w:val="0"/>
          <w:i w:val="0"/>
          <w:color w:val="102534"/>
          <w:sz w:val="21"/>
        </w:rPr>
        <w:t>DeFlex does not apply an arbitrary uplift to an N-1 capacity number. It performs chronological dispatch against an hourly envelope with explicit physical and service constraints.</w:t>
      </w:r>
    </w:p>
    <w:tbl>
      <w:tblPr>
        <w:tblStyle w:val="TableGrid"/>
        <w:tblW w:type="dxa" w:w="9360"/>
        <w:jc w:val="center"/>
        <w:tblLayout w:type="fixed"/>
        <w:tblLook w:firstColumn="1" w:firstRow="1" w:lastColumn="0" w:lastRow="0" w:noHBand="0" w:noVBand="1" w:val="04A0"/>
        <w:tblLayout w:type="fixed"/>
      </w:tblPr>
      <w:tblGrid>
        <w:gridCol w:w="2500"/>
        <w:gridCol w:w="6860"/>
      </w:tblGrid>
      <w:tr>
        <w:trPr>
          <w:tblHeader w:val="true"/>
        </w:trPr>
        <w:tc>
          <w:tcPr>
            <w:tcW w:type="dxa" w:w="2500"/>
            <w:shd w:fill="0D2A42"/>
            <w:tcMar>
              <w:top w:w="100" w:type="dxa"/>
              <w:start w:w="120" w:type="dxa"/>
              <w:bottom w:w="100" w:type="dxa"/>
              <w:end w:w="120" w:type="dxa"/>
            </w:tcMar>
            <w:vAlign w:val="center"/>
          </w:tcPr>
          <w:p>
            <w:r>
              <w:rPr>
                <w:rFonts w:ascii="Aptos" w:hAnsi="Aptos"/>
                <w:b/>
                <w:i w:val="0"/>
                <w:color w:val="FFFFFF"/>
                <w:sz w:val="17"/>
              </w:rPr>
              <w:t>Input group</w:t>
            </w:r>
          </w:p>
        </w:tc>
        <w:tc>
          <w:tcPr>
            <w:tcW w:type="dxa" w:w="6860"/>
            <w:shd w:fill="0D2A42"/>
            <w:tcMar>
              <w:top w:w="100" w:type="dxa"/>
              <w:start w:w="120" w:type="dxa"/>
              <w:bottom w:w="100" w:type="dxa"/>
              <w:end w:w="120" w:type="dxa"/>
            </w:tcMar>
            <w:vAlign w:val="center"/>
          </w:tcPr>
          <w:p>
            <w:r>
              <w:rPr>
                <w:rFonts w:ascii="Aptos" w:hAnsi="Aptos"/>
                <w:b/>
                <w:i w:val="0"/>
                <w:color w:val="FFFFFF"/>
                <w:sz w:val="17"/>
              </w:rPr>
              <w:t>Examples</w:t>
            </w:r>
          </w:p>
        </w:tc>
      </w:tr>
      <w:tr>
        <w:tc>
          <w:tcPr>
            <w:tcW w:type="dxa" w:w="2500"/>
            <w:tcMar>
              <w:top w:w="100" w:type="dxa"/>
              <w:start w:w="120" w:type="dxa"/>
              <w:bottom w:w="100" w:type="dxa"/>
              <w:end w:w="120" w:type="dxa"/>
            </w:tcMar>
            <w:vAlign w:val="center"/>
          </w:tcPr>
          <w:p>
            <w:pPr>
              <w:spacing w:after="0" w:line="252" w:lineRule="auto"/>
            </w:pPr>
            <w:r>
              <w:rPr>
                <w:rFonts w:ascii="Aptos" w:hAnsi="Aptos"/>
                <w:b/>
                <w:i w:val="0"/>
                <w:color w:val="102534"/>
                <w:sz w:val="18"/>
              </w:rPr>
              <w:t>Demand</w:t>
            </w:r>
          </w:p>
        </w:tc>
        <w:tc>
          <w:tcPr>
            <w:tcW w:type="dxa" w:w="6860"/>
            <w:tcMar>
              <w:top w:w="100" w:type="dxa"/>
              <w:start w:w="120" w:type="dxa"/>
              <w:bottom w:w="100" w:type="dxa"/>
              <w:end w:w="120" w:type="dxa"/>
            </w:tcMar>
            <w:vAlign w:val="center"/>
          </w:tcPr>
          <w:p>
            <w:pPr>
              <w:spacing w:after="0" w:line="252" w:lineRule="auto"/>
            </w:pPr>
            <w:r>
              <w:rPr>
                <w:rFonts w:ascii="Aptos" w:hAnsi="Aptos"/>
                <w:b w:val="0"/>
                <w:i w:val="0"/>
                <w:color w:val="102534"/>
                <w:sz w:val="18"/>
              </w:rPr>
              <w:t>10, 25, 50, 100 and 200 MW; critical and flexible workload</w:t>
            </w:r>
          </w:p>
        </w:tc>
      </w:tr>
      <w:tr>
        <w:tc>
          <w:tcPr>
            <w:tcW w:type="dxa" w:w="25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Interruption</w:t>
            </w:r>
          </w:p>
        </w:tc>
        <w:tc>
          <w:tcPr>
            <w:tcW w:type="dxa" w:w="68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Maximum fraction, consecutive duration and annual hour budget</w:t>
            </w:r>
          </w:p>
        </w:tc>
      </w:tr>
      <w:tr>
        <w:tc>
          <w:tcPr>
            <w:tcW w:type="dxa" w:w="2500"/>
            <w:tcMar>
              <w:top w:w="100" w:type="dxa"/>
              <w:start w:w="120" w:type="dxa"/>
              <w:bottom w:w="100" w:type="dxa"/>
              <w:end w:w="120" w:type="dxa"/>
            </w:tcMar>
            <w:vAlign w:val="center"/>
          </w:tcPr>
          <w:p>
            <w:pPr>
              <w:spacing w:after="0" w:line="252" w:lineRule="auto"/>
            </w:pPr>
            <w:r>
              <w:rPr>
                <w:rFonts w:ascii="Aptos" w:hAnsi="Aptos"/>
                <w:b/>
                <w:i w:val="0"/>
                <w:color w:val="102534"/>
                <w:sz w:val="18"/>
              </w:rPr>
              <w:t>Recovery</w:t>
            </w:r>
          </w:p>
        </w:tc>
        <w:tc>
          <w:tcPr>
            <w:tcW w:type="dxa" w:w="6860"/>
            <w:tcMar>
              <w:top w:w="100" w:type="dxa"/>
              <w:start w:w="120" w:type="dxa"/>
              <w:bottom w:w="100" w:type="dxa"/>
              <w:end w:w="120" w:type="dxa"/>
            </w:tcMar>
            <w:vAlign w:val="center"/>
          </w:tcPr>
          <w:p>
            <w:pPr>
              <w:spacing w:after="0" w:line="252" w:lineRule="auto"/>
            </w:pPr>
            <w:r>
              <w:rPr>
                <w:rFonts w:ascii="Aptos" w:hAnsi="Aptos"/>
                <w:b w:val="0"/>
                <w:i w:val="0"/>
                <w:color w:val="102534"/>
                <w:sz w:val="18"/>
              </w:rPr>
              <w:t>Rebound demand, workload deadline and recovery backlog</w:t>
            </w:r>
          </w:p>
        </w:tc>
      </w:tr>
      <w:tr>
        <w:tc>
          <w:tcPr>
            <w:tcW w:type="dxa" w:w="25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Battery</w:t>
            </w:r>
          </w:p>
        </w:tc>
        <w:tc>
          <w:tcPr>
            <w:tcW w:type="dxa" w:w="68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MW, MWh, charge/discharge efficiency, reserve SOC and degradation</w:t>
            </w:r>
          </w:p>
        </w:tc>
      </w:tr>
      <w:tr>
        <w:tc>
          <w:tcPr>
            <w:tcW w:type="dxa" w:w="2500"/>
            <w:tcMar>
              <w:top w:w="100" w:type="dxa"/>
              <w:start w:w="120" w:type="dxa"/>
              <w:bottom w:w="100" w:type="dxa"/>
              <w:end w:w="120" w:type="dxa"/>
            </w:tcMar>
            <w:vAlign w:val="center"/>
          </w:tcPr>
          <w:p>
            <w:pPr>
              <w:spacing w:after="0" w:line="252" w:lineRule="auto"/>
            </w:pPr>
            <w:r>
              <w:rPr>
                <w:rFonts w:ascii="Aptos" w:hAnsi="Aptos"/>
                <w:b/>
                <w:i w:val="0"/>
                <w:color w:val="102534"/>
                <w:sz w:val="18"/>
              </w:rPr>
              <w:t>Operations</w:t>
            </w:r>
          </w:p>
        </w:tc>
        <w:tc>
          <w:tcPr>
            <w:tcW w:type="dxa" w:w="6860"/>
            <w:tcMar>
              <w:top w:w="100" w:type="dxa"/>
              <w:start w:w="120" w:type="dxa"/>
              <w:bottom w:w="100" w:type="dxa"/>
              <w:end w:w="120" w:type="dxa"/>
            </w:tcMar>
            <w:vAlign w:val="center"/>
          </w:tcPr>
          <w:p>
            <w:pPr>
              <w:spacing w:after="0" w:line="252" w:lineRule="auto"/>
            </w:pPr>
            <w:r>
              <w:rPr>
                <w:rFonts w:ascii="Aptos" w:hAnsi="Aptos"/>
                <w:b w:val="0"/>
                <w:i w:val="0"/>
                <w:color w:val="102534"/>
                <w:sz w:val="18"/>
              </w:rPr>
              <w:t>Import ramp, unserved energy and optional backup scenario</w:t>
            </w:r>
          </w:p>
        </w:tc>
      </w:tr>
      <w:tr>
        <w:tc>
          <w:tcPr>
            <w:tcW w:type="dxa" w:w="25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Network</w:t>
            </w:r>
          </w:p>
        </w:tc>
        <w:tc>
          <w:tcPr>
            <w:tcW w:type="dxa" w:w="68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Time-varying synthetic N-0/N-1 envelopes and binding constraints</w:t>
            </w:r>
          </w:p>
        </w:tc>
      </w:tr>
    </w:tbl>
    <w:p>
      <w:pPr>
        <w:spacing w:after="40"/>
      </w:pPr>
    </w:p>
    <w:p>
      <w:pPr>
        <w:pStyle w:val="Heading2"/>
        <w:keepNext/>
        <w:pageBreakBefore w:val="0"/>
      </w:pPr>
      <w:r>
        <w:rPr>
          <w:rFonts w:ascii="Aptos" w:hAnsi="Aptos"/>
          <w:b/>
          <w:i w:val="0"/>
          <w:color w:val="0D2A42"/>
          <w:sz w:val="28"/>
        </w:rPr>
        <w:t>7.2 Optimized dispatch</w:t>
      </w:r>
    </w:p>
    <w:p>
      <w:pPr>
        <w:keepNext w:val="0"/>
        <w:spacing w:before="0" w:after="140" w:line="278" w:lineRule="auto"/>
        <w:jc w:val="left"/>
      </w:pPr>
      <w:r>
        <w:rPr>
          <w:rFonts w:ascii="Aptos" w:hAnsi="Aptos"/>
          <w:b w:val="0"/>
          <w:i w:val="0"/>
          <w:color w:val="102534"/>
          <w:sz w:val="21"/>
        </w:rPr>
        <w:t>The latest bounded HiGHS linear-program benchmark evaluated 40 seven-day cases: eight network families by five data-centre sizes. The optimizer produced zero envelope-overstatement hours, shifted 3,375.93 MWh, and explicitly exposed both critical and flexible unserved energy.</w:t>
      </w:r>
    </w:p>
    <w:tbl>
      <w:tblPr>
        <w:tblStyle w:val="TableGrid"/>
        <w:tblW w:type="dxa" w:w="9360"/>
        <w:jc w:val="center"/>
        <w:tblLayout w:type="fixed"/>
        <w:tblLook w:firstColumn="1" w:firstRow="1" w:lastColumn="0" w:lastRow="0" w:noHBand="0" w:noVBand="1" w:val="04A0"/>
        <w:tblLayout w:type="fixed"/>
      </w:tblPr>
      <w:tblGrid>
        <w:gridCol w:w="2500"/>
        <w:gridCol w:w="6860"/>
      </w:tblGrid>
      <w:tr>
        <w:trPr>
          <w:tblHeader w:val="true"/>
        </w:trPr>
        <w:tc>
          <w:tcPr>
            <w:tcW w:type="dxa" w:w="2500"/>
            <w:shd w:fill="0D2A42"/>
            <w:tcMar>
              <w:top w:w="100" w:type="dxa"/>
              <w:start w:w="120" w:type="dxa"/>
              <w:bottom w:w="100" w:type="dxa"/>
              <w:end w:w="120" w:type="dxa"/>
            </w:tcMar>
            <w:vAlign w:val="center"/>
          </w:tcPr>
          <w:p>
            <w:r>
              <w:rPr>
                <w:rFonts w:ascii="Aptos" w:hAnsi="Aptos"/>
                <w:b/>
                <w:i w:val="0"/>
                <w:color w:val="FFFFFF"/>
                <w:sz w:val="17"/>
              </w:rPr>
              <w:t>Site size</w:t>
            </w:r>
          </w:p>
        </w:tc>
        <w:tc>
          <w:tcPr>
            <w:tcW w:type="dxa" w:w="6860"/>
            <w:shd w:fill="0D2A42"/>
            <w:tcMar>
              <w:top w:w="100" w:type="dxa"/>
              <w:start w:w="120" w:type="dxa"/>
              <w:bottom w:w="100" w:type="dxa"/>
              <w:end w:w="120" w:type="dxa"/>
            </w:tcMar>
            <w:vAlign w:val="center"/>
          </w:tcPr>
          <w:p>
            <w:r>
              <w:rPr>
                <w:rFonts w:ascii="Aptos" w:hAnsi="Aptos"/>
                <w:b/>
                <w:i w:val="0"/>
                <w:color w:val="FFFFFF"/>
                <w:sz w:val="17"/>
              </w:rPr>
              <w:t>Aggregate unserved energy in latest 168-hour synthetic run</w:t>
            </w:r>
          </w:p>
        </w:tc>
      </w:tr>
      <w:tr>
        <w:tc>
          <w:tcPr>
            <w:tcW w:type="dxa" w:w="2500"/>
            <w:tcMar>
              <w:top w:w="100" w:type="dxa"/>
              <w:start w:w="120" w:type="dxa"/>
              <w:bottom w:w="100" w:type="dxa"/>
              <w:end w:w="120" w:type="dxa"/>
            </w:tcMar>
            <w:vAlign w:val="center"/>
          </w:tcPr>
          <w:p>
            <w:pPr>
              <w:spacing w:after="0" w:line="252" w:lineRule="auto"/>
            </w:pPr>
            <w:r>
              <w:rPr>
                <w:rFonts w:ascii="Aptos" w:hAnsi="Aptos"/>
                <w:b/>
                <w:i w:val="0"/>
                <w:color w:val="102534"/>
                <w:sz w:val="18"/>
              </w:rPr>
              <w:t>10 MW</w:t>
            </w:r>
          </w:p>
        </w:tc>
        <w:tc>
          <w:tcPr>
            <w:tcW w:type="dxa" w:w="6860"/>
            <w:tcMar>
              <w:top w:w="100" w:type="dxa"/>
              <w:start w:w="120" w:type="dxa"/>
              <w:bottom w:w="100" w:type="dxa"/>
              <w:end w:w="120" w:type="dxa"/>
            </w:tcMar>
            <w:vAlign w:val="center"/>
          </w:tcPr>
          <w:p>
            <w:pPr>
              <w:spacing w:after="0" w:line="252" w:lineRule="auto"/>
            </w:pPr>
            <w:r>
              <w:rPr>
                <w:rFonts w:ascii="Aptos" w:hAnsi="Aptos"/>
                <w:b w:val="0"/>
                <w:i w:val="0"/>
                <w:color w:val="102534"/>
                <w:sz w:val="18"/>
              </w:rPr>
              <w:t>0 MWh</w:t>
            </w:r>
          </w:p>
        </w:tc>
      </w:tr>
      <w:tr>
        <w:tc>
          <w:tcPr>
            <w:tcW w:type="dxa" w:w="25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25 MW</w:t>
            </w:r>
          </w:p>
        </w:tc>
        <w:tc>
          <w:tcPr>
            <w:tcW w:type="dxa" w:w="68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0 MWh</w:t>
            </w:r>
          </w:p>
        </w:tc>
      </w:tr>
      <w:tr>
        <w:tc>
          <w:tcPr>
            <w:tcW w:type="dxa" w:w="2500"/>
            <w:tcMar>
              <w:top w:w="100" w:type="dxa"/>
              <w:start w:w="120" w:type="dxa"/>
              <w:bottom w:w="100" w:type="dxa"/>
              <w:end w:w="120" w:type="dxa"/>
            </w:tcMar>
            <w:vAlign w:val="center"/>
          </w:tcPr>
          <w:p>
            <w:pPr>
              <w:spacing w:after="0" w:line="252" w:lineRule="auto"/>
            </w:pPr>
            <w:r>
              <w:rPr>
                <w:rFonts w:ascii="Aptos" w:hAnsi="Aptos"/>
                <w:b/>
                <w:i w:val="0"/>
                <w:color w:val="102534"/>
                <w:sz w:val="18"/>
              </w:rPr>
              <w:t>50 MW</w:t>
            </w:r>
          </w:p>
        </w:tc>
        <w:tc>
          <w:tcPr>
            <w:tcW w:type="dxa" w:w="6860"/>
            <w:tcMar>
              <w:top w:w="100" w:type="dxa"/>
              <w:start w:w="120" w:type="dxa"/>
              <w:bottom w:w="100" w:type="dxa"/>
              <w:end w:w="120" w:type="dxa"/>
            </w:tcMar>
            <w:vAlign w:val="center"/>
          </w:tcPr>
          <w:p>
            <w:pPr>
              <w:spacing w:after="0" w:line="252" w:lineRule="auto"/>
            </w:pPr>
            <w:r>
              <w:rPr>
                <w:rFonts w:ascii="Aptos" w:hAnsi="Aptos"/>
                <w:b w:val="0"/>
                <w:i w:val="0"/>
                <w:color w:val="102534"/>
                <w:sz w:val="18"/>
              </w:rPr>
              <w:t>0 MWh</w:t>
            </w:r>
          </w:p>
        </w:tc>
      </w:tr>
      <w:tr>
        <w:tc>
          <w:tcPr>
            <w:tcW w:type="dxa" w:w="25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100 MW</w:t>
            </w:r>
          </w:p>
        </w:tc>
        <w:tc>
          <w:tcPr>
            <w:tcW w:type="dxa" w:w="68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6,112.44 MWh</w:t>
            </w:r>
          </w:p>
        </w:tc>
      </w:tr>
      <w:tr>
        <w:tc>
          <w:tcPr>
            <w:tcW w:type="dxa" w:w="2500"/>
            <w:tcMar>
              <w:top w:w="100" w:type="dxa"/>
              <w:start w:w="120" w:type="dxa"/>
              <w:bottom w:w="100" w:type="dxa"/>
              <w:end w:w="120" w:type="dxa"/>
            </w:tcMar>
            <w:vAlign w:val="center"/>
          </w:tcPr>
          <w:p>
            <w:pPr>
              <w:spacing w:after="0" w:line="252" w:lineRule="auto"/>
            </w:pPr>
            <w:r>
              <w:rPr>
                <w:rFonts w:ascii="Aptos" w:hAnsi="Aptos"/>
                <w:b/>
                <w:i w:val="0"/>
                <w:color w:val="102534"/>
                <w:sz w:val="18"/>
              </w:rPr>
              <w:t>200 MW</w:t>
            </w:r>
          </w:p>
        </w:tc>
        <w:tc>
          <w:tcPr>
            <w:tcW w:type="dxa" w:w="6860"/>
            <w:tcMar>
              <w:top w:w="100" w:type="dxa"/>
              <w:start w:w="120" w:type="dxa"/>
              <w:bottom w:w="100" w:type="dxa"/>
              <w:end w:w="120" w:type="dxa"/>
            </w:tcMar>
            <w:vAlign w:val="center"/>
          </w:tcPr>
          <w:p>
            <w:pPr>
              <w:spacing w:after="0" w:line="252" w:lineRule="auto"/>
            </w:pPr>
            <w:r>
              <w:rPr>
                <w:rFonts w:ascii="Aptos" w:hAnsi="Aptos"/>
                <w:b w:val="0"/>
                <w:i w:val="0"/>
                <w:color w:val="102534"/>
                <w:sz w:val="18"/>
              </w:rPr>
              <w:t>64,522.04 MWh</w:t>
            </w:r>
          </w:p>
        </w:tc>
      </w:tr>
    </w:tbl>
    <w:p>
      <w:pPr>
        <w:spacing w:after="40"/>
      </w:pPr>
    </w:p>
    <w:p>
      <w:pPr>
        <w:keepNext w:val="0"/>
        <w:spacing w:before="0" w:after="140" w:line="278" w:lineRule="auto"/>
        <w:jc w:val="left"/>
      </w:pPr>
      <w:r>
        <w:rPr>
          <w:rFonts w:ascii="Aptos" w:hAnsi="Aptos"/>
          <w:b w:val="0"/>
          <w:i w:val="0"/>
          <w:color w:val="102534"/>
          <w:sz w:val="21"/>
        </w:rPr>
        <w:t>These values are not Berlin forecasts. Their business meaning is methodological: flexibility can make some constrained envelopes workable, but it cannot close every gap. Large sites remain sensitive to topology, outage state, duration and recovery obligations.</w:t>
      </w:r>
    </w:p>
    <w:p>
      <w:pPr>
        <w:pStyle w:val="Heading1"/>
        <w:keepNext/>
        <w:pageBreakBefore/>
      </w:pPr>
      <w:r>
        <w:rPr>
          <w:rFonts w:ascii="Aptos" w:hAnsi="Aptos"/>
          <w:b/>
          <w:i w:val="0"/>
          <w:color w:val="071A2B"/>
          <w:sz w:val="42"/>
        </w:rPr>
        <w:t>8. Development readiness</w:t>
      </w:r>
    </w:p>
    <w:p>
      <w:pPr>
        <w:keepNext w:val="0"/>
        <w:spacing w:before="0" w:after="140" w:line="278" w:lineRule="auto"/>
        <w:jc w:val="left"/>
      </w:pPr>
      <w:r>
        <w:rPr>
          <w:rFonts w:ascii="Aptos" w:hAnsi="Aptos"/>
          <w:b w:val="0"/>
          <w:i w:val="0"/>
          <w:color w:val="102534"/>
          <w:sz w:val="21"/>
        </w:rPr>
        <w:t>GridPulse is beyond concept validation but not yet at operator-grade capacity prediction. The appropriate description is an evidence-governed research prototype with production-relevant data contracts and a completed synthetic workflow benchmark.</w:t>
      </w:r>
    </w:p>
    <w:tbl>
      <w:tblPr>
        <w:tblStyle w:val="TableGrid"/>
        <w:tblW w:type="dxa" w:w="9360"/>
        <w:jc w:val="center"/>
        <w:tblLayout w:type="fixed"/>
        <w:tblLook w:firstColumn="1" w:firstRow="1" w:lastColumn="0" w:lastRow="0" w:noHBand="0" w:noVBand="1" w:val="04A0"/>
        <w:tblLayout w:type="fixed"/>
      </w:tblPr>
      <w:tblGrid>
        <w:gridCol w:w="2100"/>
        <w:gridCol w:w="1800"/>
        <w:gridCol w:w="3000"/>
        <w:gridCol w:w="2460"/>
      </w:tblGrid>
      <w:tr>
        <w:trPr>
          <w:tblHeader w:val="true"/>
        </w:trPr>
        <w:tc>
          <w:tcPr>
            <w:tcW w:type="dxa" w:w="2100"/>
            <w:shd w:fill="0D2A42"/>
            <w:tcMar>
              <w:top w:w="100" w:type="dxa"/>
              <w:start w:w="120" w:type="dxa"/>
              <w:bottom w:w="100" w:type="dxa"/>
              <w:end w:w="120" w:type="dxa"/>
            </w:tcMar>
            <w:vAlign w:val="center"/>
          </w:tcPr>
          <w:p>
            <w:r>
              <w:rPr>
                <w:rFonts w:ascii="Aptos" w:hAnsi="Aptos"/>
                <w:b/>
                <w:i w:val="0"/>
                <w:color w:val="FFFFFF"/>
                <w:sz w:val="17"/>
              </w:rPr>
              <w:t>Workstream</w:t>
            </w:r>
          </w:p>
        </w:tc>
        <w:tc>
          <w:tcPr>
            <w:tcW w:type="dxa" w:w="1800"/>
            <w:shd w:fill="0D2A42"/>
            <w:tcMar>
              <w:top w:w="100" w:type="dxa"/>
              <w:start w:w="120" w:type="dxa"/>
              <w:bottom w:w="100" w:type="dxa"/>
              <w:end w:w="120" w:type="dxa"/>
            </w:tcMar>
            <w:vAlign w:val="center"/>
          </w:tcPr>
          <w:p>
            <w:r>
              <w:rPr>
                <w:rFonts w:ascii="Aptos" w:hAnsi="Aptos"/>
                <w:b/>
                <w:i w:val="0"/>
                <w:color w:val="FFFFFF"/>
                <w:sz w:val="17"/>
              </w:rPr>
              <w:t>Level</w:t>
            </w:r>
          </w:p>
        </w:tc>
        <w:tc>
          <w:tcPr>
            <w:tcW w:type="dxa" w:w="3000"/>
            <w:shd w:fill="0D2A42"/>
            <w:tcMar>
              <w:top w:w="100" w:type="dxa"/>
              <w:start w:w="120" w:type="dxa"/>
              <w:bottom w:w="100" w:type="dxa"/>
              <w:end w:w="120" w:type="dxa"/>
            </w:tcMar>
            <w:vAlign w:val="center"/>
          </w:tcPr>
          <w:p>
            <w:r>
              <w:rPr>
                <w:rFonts w:ascii="Aptos" w:hAnsi="Aptos"/>
                <w:b/>
                <w:i w:val="0"/>
                <w:color w:val="FFFFFF"/>
                <w:sz w:val="17"/>
              </w:rPr>
              <w:t>Evidence</w:t>
            </w:r>
          </w:p>
        </w:tc>
        <w:tc>
          <w:tcPr>
            <w:tcW w:type="dxa" w:w="2460"/>
            <w:shd w:fill="0D2A42"/>
            <w:tcMar>
              <w:top w:w="100" w:type="dxa"/>
              <w:start w:w="120" w:type="dxa"/>
              <w:bottom w:w="100" w:type="dxa"/>
              <w:end w:w="120" w:type="dxa"/>
            </w:tcMar>
            <w:vAlign w:val="center"/>
          </w:tcPr>
          <w:p>
            <w:r>
              <w:rPr>
                <w:rFonts w:ascii="Aptos" w:hAnsi="Aptos"/>
                <w:b/>
                <w:i w:val="0"/>
                <w:color w:val="FFFFFF"/>
                <w:sz w:val="17"/>
              </w:rPr>
              <w:t>Next gate</w:t>
            </w:r>
          </w:p>
        </w:tc>
      </w:tr>
      <w:tr>
        <w:tc>
          <w:tcPr>
            <w:tcW w:type="dxa" w:w="2100"/>
            <w:tcMar>
              <w:top w:w="100" w:type="dxa"/>
              <w:start w:w="120" w:type="dxa"/>
              <w:bottom w:w="100" w:type="dxa"/>
              <w:end w:w="120" w:type="dxa"/>
            </w:tcMar>
            <w:vAlign w:val="center"/>
          </w:tcPr>
          <w:p>
            <w:pPr>
              <w:spacing w:after="0" w:line="252" w:lineRule="auto"/>
            </w:pPr>
            <w:r>
              <w:rPr>
                <w:rFonts w:ascii="Aptos" w:hAnsi="Aptos"/>
                <w:b/>
                <w:i w:val="0"/>
                <w:color w:val="102534"/>
                <w:sz w:val="17"/>
              </w:rPr>
              <w:t>Immutable data platform</w:t>
            </w:r>
          </w:p>
        </w:tc>
        <w:tc>
          <w:tcPr>
            <w:tcW w:type="dxa" w:w="1800"/>
            <w:tcMar>
              <w:top w:w="100" w:type="dxa"/>
              <w:start w:w="120" w:type="dxa"/>
              <w:bottom w:w="100" w:type="dxa"/>
              <w:end w:w="120" w:type="dxa"/>
            </w:tcMar>
            <w:vAlign w:val="center"/>
          </w:tcPr>
          <w:p>
            <w:pPr>
              <w:spacing w:after="0" w:line="252" w:lineRule="auto"/>
            </w:pPr>
            <w:r>
              <w:rPr>
                <w:rFonts w:ascii="Aptos" w:hAnsi="Aptos"/>
                <w:b w:val="0"/>
                <w:i w:val="0"/>
                <w:color w:val="102534"/>
                <w:sz w:val="17"/>
              </w:rPr>
              <w:t>Advanced prototype</w:t>
            </w:r>
          </w:p>
        </w:tc>
        <w:tc>
          <w:tcPr>
            <w:tcW w:type="dxa" w:w="3000"/>
            <w:tcMar>
              <w:top w:w="100" w:type="dxa"/>
              <w:start w:w="120" w:type="dxa"/>
              <w:bottom w:w="100" w:type="dxa"/>
              <w:end w:w="120" w:type="dxa"/>
            </w:tcMar>
            <w:vAlign w:val="center"/>
          </w:tcPr>
          <w:p>
            <w:pPr>
              <w:spacing w:after="0" w:line="252" w:lineRule="auto"/>
            </w:pPr>
            <w:r>
              <w:rPr>
                <w:rFonts w:ascii="Aptos" w:hAnsi="Aptos"/>
                <w:b w:val="0"/>
                <w:i w:val="0"/>
                <w:color w:val="102534"/>
                <w:sz w:val="17"/>
              </w:rPr>
              <w:t>OneDrive storage, hashes, manifests, verification</w:t>
            </w:r>
          </w:p>
        </w:tc>
        <w:tc>
          <w:tcPr>
            <w:tcW w:type="dxa" w:w="2460"/>
            <w:tcMar>
              <w:top w:w="100" w:type="dxa"/>
              <w:start w:w="120" w:type="dxa"/>
              <w:bottom w:w="100" w:type="dxa"/>
              <w:end w:w="120" w:type="dxa"/>
            </w:tcMar>
            <w:vAlign w:val="center"/>
          </w:tcPr>
          <w:p>
            <w:pPr>
              <w:spacing w:after="0" w:line="252" w:lineRule="auto"/>
            </w:pPr>
            <w:r>
              <w:rPr>
                <w:rFonts w:ascii="Aptos" w:hAnsi="Aptos"/>
                <w:b w:val="0"/>
                <w:i w:val="0"/>
                <w:color w:val="102534"/>
                <w:sz w:val="17"/>
              </w:rPr>
              <w:t>Long-run monitoring and governance</w:t>
            </w:r>
          </w:p>
        </w:tc>
      </w:tr>
      <w:tr>
        <w:tc>
          <w:tcPr>
            <w:tcW w:type="dxa" w:w="2100"/>
            <w:shd w:fill="F4F7F9"/>
            <w:tcMar>
              <w:top w:w="100" w:type="dxa"/>
              <w:start w:w="120" w:type="dxa"/>
              <w:bottom w:w="100" w:type="dxa"/>
              <w:end w:w="120" w:type="dxa"/>
            </w:tcMar>
            <w:vAlign w:val="center"/>
          </w:tcPr>
          <w:p>
            <w:pPr>
              <w:spacing w:after="0" w:line="252" w:lineRule="auto"/>
            </w:pPr>
            <w:r>
              <w:rPr>
                <w:rFonts w:ascii="Aptos" w:hAnsi="Aptos"/>
                <w:b/>
                <w:i w:val="0"/>
                <w:color w:val="102534"/>
                <w:sz w:val="17"/>
              </w:rPr>
              <w:t>Public source adapters</w:t>
            </w:r>
          </w:p>
        </w:tc>
        <w:tc>
          <w:tcPr>
            <w:tcW w:type="dxa" w:w="18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Advanced prototype</w:t>
            </w:r>
          </w:p>
        </w:tc>
        <w:tc>
          <w:tcPr>
            <w:tcW w:type="dxa" w:w="30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50Hertz, ENTSO-E, DWD and contextual publications</w:t>
            </w:r>
          </w:p>
        </w:tc>
        <w:tc>
          <w:tcPr>
            <w:tcW w:type="dxa" w:w="24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Licensing and historical completeness</w:t>
            </w:r>
          </w:p>
        </w:tc>
      </w:tr>
      <w:tr>
        <w:tc>
          <w:tcPr>
            <w:tcW w:type="dxa" w:w="2100"/>
            <w:tcMar>
              <w:top w:w="100" w:type="dxa"/>
              <w:start w:w="120" w:type="dxa"/>
              <w:bottom w:w="100" w:type="dxa"/>
              <w:end w:w="120" w:type="dxa"/>
            </w:tcMar>
            <w:vAlign w:val="center"/>
          </w:tcPr>
          <w:p>
            <w:pPr>
              <w:spacing w:after="0" w:line="252" w:lineRule="auto"/>
            </w:pPr>
            <w:r>
              <w:rPr>
                <w:rFonts w:ascii="Aptos" w:hAnsi="Aptos"/>
                <w:b/>
                <w:i w:val="0"/>
                <w:color w:val="102534"/>
                <w:sz w:val="17"/>
              </w:rPr>
              <w:t>Regional constraint risk</w:t>
            </w:r>
          </w:p>
        </w:tc>
        <w:tc>
          <w:tcPr>
            <w:tcW w:type="dxa" w:w="1800"/>
            <w:tcMar>
              <w:top w:w="100" w:type="dxa"/>
              <w:start w:w="120" w:type="dxa"/>
              <w:bottom w:w="100" w:type="dxa"/>
              <w:end w:w="120" w:type="dxa"/>
            </w:tcMar>
            <w:vAlign w:val="center"/>
          </w:tcPr>
          <w:p>
            <w:pPr>
              <w:spacing w:after="0" w:line="252" w:lineRule="auto"/>
            </w:pPr>
            <w:r>
              <w:rPr>
                <w:rFonts w:ascii="Aptos" w:hAnsi="Aptos"/>
                <w:b w:val="0"/>
                <w:i w:val="0"/>
                <w:color w:val="102534"/>
                <w:sz w:val="17"/>
              </w:rPr>
              <w:t>Experimental model</w:t>
            </w:r>
          </w:p>
        </w:tc>
        <w:tc>
          <w:tcPr>
            <w:tcW w:type="dxa" w:w="3000"/>
            <w:tcMar>
              <w:top w:w="100" w:type="dxa"/>
              <w:start w:w="120" w:type="dxa"/>
              <w:bottom w:w="100" w:type="dxa"/>
              <w:end w:w="120" w:type="dxa"/>
            </w:tcMar>
            <w:vAlign w:val="center"/>
          </w:tcPr>
          <w:p>
            <w:pPr>
              <w:spacing w:after="0" w:line="252" w:lineRule="auto"/>
            </w:pPr>
            <w:r>
              <w:rPr>
                <w:rFonts w:ascii="Aptos" w:hAnsi="Aptos"/>
                <w:b w:val="0"/>
                <w:i w:val="0"/>
                <w:color w:val="102534"/>
                <w:sz w:val="17"/>
              </w:rPr>
              <w:t>Rolling temporal evaluation at control-area resolution</w:t>
            </w:r>
          </w:p>
        </w:tc>
        <w:tc>
          <w:tcPr>
            <w:tcW w:type="dxa" w:w="2460"/>
            <w:tcMar>
              <w:top w:w="100" w:type="dxa"/>
              <w:start w:w="120" w:type="dxa"/>
              <w:bottom w:w="100" w:type="dxa"/>
              <w:end w:w="120" w:type="dxa"/>
            </w:tcMar>
            <w:vAlign w:val="center"/>
          </w:tcPr>
          <w:p>
            <w:pPr>
              <w:spacing w:after="0" w:line="252" w:lineRule="auto"/>
            </w:pPr>
            <w:r>
              <w:rPr>
                <w:rFonts w:ascii="Aptos" w:hAnsi="Aptos"/>
                <w:b w:val="0"/>
                <w:i w:val="0"/>
                <w:color w:val="102534"/>
                <w:sz w:val="17"/>
              </w:rPr>
              <w:t>Admitted archive and stable multi-period release</w:t>
            </w:r>
          </w:p>
        </w:tc>
      </w:tr>
      <w:tr>
        <w:tc>
          <w:tcPr>
            <w:tcW w:type="dxa" w:w="2100"/>
            <w:shd w:fill="F4F7F9"/>
            <w:tcMar>
              <w:top w:w="100" w:type="dxa"/>
              <w:start w:w="120" w:type="dxa"/>
              <w:bottom w:w="100" w:type="dxa"/>
              <w:end w:w="120" w:type="dxa"/>
            </w:tcMar>
            <w:vAlign w:val="center"/>
          </w:tcPr>
          <w:p>
            <w:pPr>
              <w:spacing w:after="0" w:line="252" w:lineRule="auto"/>
            </w:pPr>
            <w:r>
              <w:rPr>
                <w:rFonts w:ascii="Aptos" w:hAnsi="Aptos"/>
                <w:b/>
                <w:i w:val="0"/>
                <w:color w:val="102534"/>
                <w:sz w:val="17"/>
              </w:rPr>
              <w:t>Synthetic AC benchmark</w:t>
            </w:r>
          </w:p>
        </w:tc>
        <w:tc>
          <w:tcPr>
            <w:tcW w:type="dxa" w:w="18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Validated research method</w:t>
            </w:r>
          </w:p>
        </w:tc>
        <w:tc>
          <w:tcPr>
            <w:tcW w:type="dxa" w:w="30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Eight families, 15 candidates, exhaustive audits</w:t>
            </w:r>
          </w:p>
        </w:tc>
        <w:tc>
          <w:tcPr>
            <w:tcW w:type="dxa" w:w="24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Replace unsafe hourly proxy</w:t>
            </w:r>
          </w:p>
        </w:tc>
      </w:tr>
      <w:tr>
        <w:tc>
          <w:tcPr>
            <w:tcW w:type="dxa" w:w="2100"/>
            <w:tcMar>
              <w:top w:w="100" w:type="dxa"/>
              <w:start w:w="120" w:type="dxa"/>
              <w:bottom w:w="100" w:type="dxa"/>
              <w:end w:w="120" w:type="dxa"/>
            </w:tcMar>
            <w:vAlign w:val="center"/>
          </w:tcPr>
          <w:p>
            <w:pPr>
              <w:spacing w:after="0" w:line="252" w:lineRule="auto"/>
            </w:pPr>
            <w:r>
              <w:rPr>
                <w:rFonts w:ascii="Aptos" w:hAnsi="Aptos"/>
                <w:b/>
                <w:i w:val="0"/>
                <w:color w:val="102534"/>
                <w:sz w:val="17"/>
              </w:rPr>
              <w:t>Synthetic DeFlex</w:t>
            </w:r>
          </w:p>
        </w:tc>
        <w:tc>
          <w:tcPr>
            <w:tcW w:type="dxa" w:w="1800"/>
            <w:tcMar>
              <w:top w:w="100" w:type="dxa"/>
              <w:start w:w="120" w:type="dxa"/>
              <w:bottom w:w="100" w:type="dxa"/>
              <w:end w:w="120" w:type="dxa"/>
            </w:tcMar>
            <w:vAlign w:val="center"/>
          </w:tcPr>
          <w:p>
            <w:pPr>
              <w:spacing w:after="0" w:line="252" w:lineRule="auto"/>
            </w:pPr>
            <w:r>
              <w:rPr>
                <w:rFonts w:ascii="Aptos" w:hAnsi="Aptos"/>
                <w:b w:val="0"/>
                <w:i w:val="0"/>
                <w:color w:val="102534"/>
                <w:sz w:val="17"/>
              </w:rPr>
              <w:t>Validated research method</w:t>
            </w:r>
          </w:p>
        </w:tc>
        <w:tc>
          <w:tcPr>
            <w:tcW w:type="dxa" w:w="3000"/>
            <w:tcMar>
              <w:top w:w="100" w:type="dxa"/>
              <w:start w:w="120" w:type="dxa"/>
              <w:bottom w:w="100" w:type="dxa"/>
              <w:end w:w="120" w:type="dxa"/>
            </w:tcMar>
            <w:vAlign w:val="center"/>
          </w:tcPr>
          <w:p>
            <w:pPr>
              <w:spacing w:after="0" w:line="252" w:lineRule="auto"/>
            </w:pPr>
            <w:r>
              <w:rPr>
                <w:rFonts w:ascii="Aptos" w:hAnsi="Aptos"/>
                <w:b w:val="0"/>
                <w:i w:val="0"/>
                <w:color w:val="102534"/>
                <w:sz w:val="17"/>
              </w:rPr>
              <w:t>Chronological bounded dispatch and LP optimization</w:t>
            </w:r>
          </w:p>
        </w:tc>
        <w:tc>
          <w:tcPr>
            <w:tcW w:type="dxa" w:w="2460"/>
            <w:tcMar>
              <w:top w:w="100" w:type="dxa"/>
              <w:start w:w="120" w:type="dxa"/>
              <w:bottom w:w="100" w:type="dxa"/>
              <w:end w:w="120" w:type="dxa"/>
            </w:tcMar>
            <w:vAlign w:val="center"/>
          </w:tcPr>
          <w:p>
            <w:pPr>
              <w:spacing w:after="0" w:line="252" w:lineRule="auto"/>
            </w:pPr>
            <w:r>
              <w:rPr>
                <w:rFonts w:ascii="Aptos" w:hAnsi="Aptos"/>
                <w:b w:val="0"/>
                <w:i w:val="0"/>
                <w:color w:val="102534"/>
                <w:sz w:val="17"/>
              </w:rPr>
              <w:t>Real operator envelope and customer profile</w:t>
            </w:r>
          </w:p>
        </w:tc>
      </w:tr>
      <w:tr>
        <w:tc>
          <w:tcPr>
            <w:tcW w:type="dxa" w:w="2100"/>
            <w:shd w:fill="F4F7F9"/>
            <w:tcMar>
              <w:top w:w="100" w:type="dxa"/>
              <w:start w:w="120" w:type="dxa"/>
              <w:bottom w:w="100" w:type="dxa"/>
              <w:end w:w="120" w:type="dxa"/>
            </w:tcMar>
            <w:vAlign w:val="center"/>
          </w:tcPr>
          <w:p>
            <w:pPr>
              <w:spacing w:after="0" w:line="252" w:lineRule="auto"/>
            </w:pPr>
            <w:r>
              <w:rPr>
                <w:rFonts w:ascii="Aptos" w:hAnsi="Aptos"/>
                <w:b/>
                <w:i w:val="0"/>
                <w:color w:val="102534"/>
                <w:sz w:val="17"/>
              </w:rPr>
              <w:t>Operator-model ingestion</w:t>
            </w:r>
          </w:p>
        </w:tc>
        <w:tc>
          <w:tcPr>
            <w:tcW w:type="dxa" w:w="18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Contract-ready</w:t>
            </w:r>
          </w:p>
        </w:tc>
        <w:tc>
          <w:tcPr>
            <w:tcW w:type="dxa" w:w="30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JSON/CGMES intake and validation gates</w:t>
            </w:r>
          </w:p>
        </w:tc>
        <w:tc>
          <w:tcPr>
            <w:tcW w:type="dxa" w:w="24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First confidential operator package</w:t>
            </w:r>
          </w:p>
        </w:tc>
      </w:tr>
      <w:tr>
        <w:tc>
          <w:tcPr>
            <w:tcW w:type="dxa" w:w="2100"/>
            <w:tcMar>
              <w:top w:w="100" w:type="dxa"/>
              <w:start w:w="120" w:type="dxa"/>
              <w:bottom w:w="100" w:type="dxa"/>
              <w:end w:w="120" w:type="dxa"/>
            </w:tcMar>
            <w:vAlign w:val="center"/>
          </w:tcPr>
          <w:p>
            <w:pPr>
              <w:spacing w:after="0" w:line="252" w:lineRule="auto"/>
            </w:pPr>
            <w:r>
              <w:rPr>
                <w:rFonts w:ascii="Aptos" w:hAnsi="Aptos"/>
                <w:b/>
                <w:i w:val="0"/>
                <w:color w:val="102534"/>
                <w:sz w:val="17"/>
              </w:rPr>
              <w:t>Operator reconciliation</w:t>
            </w:r>
          </w:p>
        </w:tc>
        <w:tc>
          <w:tcPr>
            <w:tcW w:type="dxa" w:w="1800"/>
            <w:tcMar>
              <w:top w:w="100" w:type="dxa"/>
              <w:start w:w="120" w:type="dxa"/>
              <w:bottom w:w="100" w:type="dxa"/>
              <w:end w:w="120" w:type="dxa"/>
            </w:tcMar>
            <w:vAlign w:val="center"/>
          </w:tcPr>
          <w:p>
            <w:pPr>
              <w:spacing w:after="0" w:line="252" w:lineRule="auto"/>
            </w:pPr>
            <w:r>
              <w:rPr>
                <w:rFonts w:ascii="Aptos" w:hAnsi="Aptos"/>
                <w:b w:val="0"/>
                <w:i w:val="0"/>
                <w:color w:val="102534"/>
                <w:sz w:val="17"/>
              </w:rPr>
              <w:t>Workflow-ready</w:t>
            </w:r>
          </w:p>
        </w:tc>
        <w:tc>
          <w:tcPr>
            <w:tcW w:type="dxa" w:w="3000"/>
            <w:tcMar>
              <w:top w:w="100" w:type="dxa"/>
              <w:start w:w="120" w:type="dxa"/>
              <w:bottom w:w="100" w:type="dxa"/>
              <w:end w:w="120" w:type="dxa"/>
            </w:tcMar>
            <w:vAlign w:val="center"/>
          </w:tcPr>
          <w:p>
            <w:pPr>
              <w:spacing w:after="0" w:line="252" w:lineRule="auto"/>
            </w:pPr>
            <w:r>
              <w:rPr>
                <w:rFonts w:ascii="Aptos" w:hAnsi="Aptos"/>
                <w:b w:val="0"/>
                <w:i w:val="0"/>
                <w:color w:val="102534"/>
                <w:sz w:val="17"/>
              </w:rPr>
              <w:t>Frozen predictions and outcome schema</w:t>
            </w:r>
          </w:p>
        </w:tc>
        <w:tc>
          <w:tcPr>
            <w:tcW w:type="dxa" w:w="2460"/>
            <w:tcMar>
              <w:top w:w="100" w:type="dxa"/>
              <w:start w:w="120" w:type="dxa"/>
              <w:bottom w:w="100" w:type="dxa"/>
              <w:end w:w="120" w:type="dxa"/>
            </w:tcMar>
            <w:vAlign w:val="center"/>
          </w:tcPr>
          <w:p>
            <w:pPr>
              <w:spacing w:after="0" w:line="252" w:lineRule="auto"/>
            </w:pPr>
            <w:r>
              <w:rPr>
                <w:rFonts w:ascii="Aptos" w:hAnsi="Aptos"/>
                <w:b w:val="0"/>
                <w:i w:val="0"/>
                <w:color w:val="102534"/>
                <w:sz w:val="17"/>
              </w:rPr>
              <w:t>Historical operator decisions</w:t>
            </w:r>
          </w:p>
        </w:tc>
      </w:tr>
      <w:tr>
        <w:tc>
          <w:tcPr>
            <w:tcW w:type="dxa" w:w="2100"/>
            <w:shd w:fill="F4F7F9"/>
            <w:tcMar>
              <w:top w:w="100" w:type="dxa"/>
              <w:start w:w="120" w:type="dxa"/>
              <w:bottom w:w="100" w:type="dxa"/>
              <w:end w:w="120" w:type="dxa"/>
            </w:tcMar>
            <w:vAlign w:val="center"/>
          </w:tcPr>
          <w:p>
            <w:pPr>
              <w:spacing w:after="0" w:line="252" w:lineRule="auto"/>
            </w:pPr>
            <w:r>
              <w:rPr>
                <w:rFonts w:ascii="Aptos" w:hAnsi="Aptos"/>
                <w:b/>
                <w:i w:val="0"/>
                <w:color w:val="102534"/>
                <w:sz w:val="17"/>
              </w:rPr>
              <w:t>Confirmed capacity product</w:t>
            </w:r>
          </w:p>
        </w:tc>
        <w:tc>
          <w:tcPr>
            <w:tcW w:type="dxa" w:w="18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Not available</w:t>
            </w:r>
          </w:p>
        </w:tc>
        <w:tc>
          <w:tcPr>
            <w:tcW w:type="dxa" w:w="30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Correctly blocked</w:t>
            </w:r>
          </w:p>
        </w:tc>
        <w:tc>
          <w:tcPr>
            <w:tcW w:type="dxa" w:w="24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Operator-reviewed connection result</w:t>
            </w:r>
          </w:p>
        </w:tc>
      </w:tr>
    </w:tbl>
    <w:p>
      <w:pPr>
        <w:spacing w:after="40"/>
      </w:pPr>
    </w:p>
    <w:tbl>
      <w:tblPr>
        <w:tblW w:type="dxa" w:w="9360"/>
        <w:jc w:val="center"/>
        <w:tblLayout w:type="fixed"/>
        <w:tblLook w:firstColumn="1" w:firstRow="1" w:lastColumn="0" w:lastRow="0" w:noHBand="0" w:noVBand="1" w:val="04A0"/>
        <w:tblLayout w:type="fixed"/>
      </w:tblPr>
      <w:tblGrid>
        <w:gridCol w:w="9360"/>
      </w:tblGrid>
      <w:tr>
        <w:tc>
          <w:tcPr>
            <w:tcW w:type="dxa" w:w="9360"/>
            <w:tcMar>
              <w:top w:w="100" w:type="dxa"/>
              <w:start w:w="120" w:type="dxa"/>
              <w:bottom w:w="100" w:type="dxa"/>
              <w:end w:w="120" w:type="dxa"/>
            </w:tcMar>
            <w:vAlign w:val="center"/>
            <w:shd w:fill="EAF3F8"/>
          </w:tcPr>
          <w:p>
            <w:pPr>
              <w:spacing w:after="60"/>
            </w:pPr>
            <w:r>
              <w:rPr>
                <w:rFonts w:ascii="Aptos" w:hAnsi="Aptos"/>
                <w:b/>
                <w:i w:val="0"/>
                <w:color w:val="36C5F0"/>
                <w:sz w:val="16"/>
              </w:rPr>
              <w:t>READINESS STATEMENT</w:t>
            </w:r>
          </w:p>
          <w:p>
            <w:pPr>
              <w:spacing w:after="80"/>
            </w:pPr>
            <w:r>
              <w:rPr>
                <w:rFonts w:ascii="Aptos" w:hAnsi="Aptos"/>
                <w:b/>
                <w:i w:val="0"/>
                <w:color w:val="071A2B"/>
                <w:sz w:val="26"/>
              </w:rPr>
              <w:t>What investors should understand.</w:t>
            </w:r>
          </w:p>
          <w:p>
            <w:pPr>
              <w:spacing w:after="0" w:line="271" w:lineRule="auto"/>
            </w:pPr>
            <w:r>
              <w:rPr>
                <w:rFonts w:ascii="Aptos" w:hAnsi="Aptos"/>
                <w:b w:val="0"/>
                <w:i w:val="0"/>
                <w:color w:val="102534"/>
                <w:sz w:val="20"/>
              </w:rPr>
              <w:t>The platform has de-risked architecture, provenance, chronology, synthetic physics and flexibility mechanics. The remaining uncertainty is not whether code can be written; it is whether decisive operator evidence and validation partnerships can be secured.</w:t>
            </w:r>
          </w:p>
        </w:tc>
      </w:tr>
    </w:tbl>
    <w:p>
      <w:pPr>
        <w:spacing w:after="20"/>
      </w:pPr>
    </w:p>
    <w:p>
      <w:pPr>
        <w:pStyle w:val="Heading1"/>
        <w:keepNext/>
        <w:pageBreakBefore/>
      </w:pPr>
      <w:r>
        <w:rPr>
          <w:rFonts w:ascii="Aptos" w:hAnsi="Aptos"/>
          <w:b/>
          <w:i w:val="0"/>
          <w:color w:val="071A2B"/>
          <w:sz w:val="42"/>
        </w:rPr>
        <w:t>9. Data required to reach the next evidence level</w:t>
      </w:r>
    </w:p>
    <w:p>
      <w:pPr>
        <w:pStyle w:val="Heading2"/>
        <w:keepNext/>
        <w:pageBreakBefore w:val="0"/>
      </w:pPr>
      <w:r>
        <w:rPr>
          <w:rFonts w:ascii="Aptos" w:hAnsi="Aptos"/>
          <w:b/>
          <w:i w:val="0"/>
          <w:color w:val="0D2A42"/>
          <w:sz w:val="28"/>
        </w:rPr>
        <w:t>9.1 From Stromnetz Berlin, E.DIS and the relevant DSO</w:t>
      </w:r>
    </w:p>
    <w:p>
      <w:pPr>
        <w:pStyle w:val="ListBullet"/>
        <w:spacing w:after="80" w:line="269" w:lineRule="auto"/>
      </w:pPr>
      <w:r>
        <w:rPr>
          <w:rFonts w:ascii="Aptos" w:hAnsi="Aptos"/>
          <w:b w:val="0"/>
          <w:i w:val="0"/>
          <w:color w:val="102534"/>
          <w:sz w:val="20"/>
        </w:rPr>
        <w:t>Operator-selected candidate connection point and stable anonymized asset identifiers.</w:t>
      </w:r>
    </w:p>
    <w:p>
      <w:pPr>
        <w:pStyle w:val="ListBullet"/>
        <w:spacing w:after="80" w:line="269" w:lineRule="auto"/>
      </w:pPr>
      <w:r>
        <w:rPr>
          <w:rFonts w:ascii="Aptos" w:hAnsi="Aptos"/>
          <w:b w:val="0"/>
          <w:i w:val="0"/>
          <w:color w:val="102534"/>
          <w:sz w:val="20"/>
        </w:rPr>
        <w:t>Anonymized connectivity, normal topology and timestamped switching states.</w:t>
      </w:r>
    </w:p>
    <w:p>
      <w:pPr>
        <w:pStyle w:val="ListBullet"/>
        <w:spacing w:after="80" w:line="269" w:lineRule="auto"/>
      </w:pPr>
      <w:r>
        <w:rPr>
          <w:rFonts w:ascii="Aptos" w:hAnsi="Aptos"/>
          <w:b w:val="0"/>
          <w:i w:val="0"/>
          <w:color w:val="102534"/>
          <w:sz w:val="20"/>
        </w:rPr>
        <w:t>Normal and emergency line and transformer ratings, units and validity periods.</w:t>
      </w:r>
    </w:p>
    <w:p>
      <w:pPr>
        <w:pStyle w:val="ListBullet"/>
        <w:spacing w:after="80" w:line="269" w:lineRule="auto"/>
      </w:pPr>
      <w:r>
        <w:rPr>
          <w:rFonts w:ascii="Aptos" w:hAnsi="Aptos"/>
          <w:b w:val="0"/>
          <w:i w:val="0"/>
          <w:color w:val="102534"/>
          <w:sz w:val="20"/>
        </w:rPr>
        <w:t>Historical hourly or 15-minute loading and voltage with quality flags.</w:t>
      </w:r>
    </w:p>
    <w:p>
      <w:pPr>
        <w:pStyle w:val="ListBullet"/>
        <w:spacing w:after="80" w:line="269" w:lineRule="auto"/>
      </w:pPr>
      <w:r>
        <w:rPr>
          <w:rFonts w:ascii="Aptos" w:hAnsi="Aptos"/>
          <w:b w:val="0"/>
          <w:i w:val="0"/>
          <w:color w:val="102534"/>
          <w:sz w:val="20"/>
        </w:rPr>
        <w:t>Planned and unplanned outages with knowledge time, effective interval and revision.</w:t>
      </w:r>
    </w:p>
    <w:p>
      <w:pPr>
        <w:pStyle w:val="ListBullet"/>
        <w:spacing w:after="80" w:line="269" w:lineRule="auto"/>
      </w:pPr>
      <w:r>
        <w:rPr>
          <w:rFonts w:ascii="Aptos" w:hAnsi="Aptos"/>
          <w:b w:val="0"/>
          <w:i w:val="0"/>
          <w:color w:val="102534"/>
          <w:sz w:val="20"/>
        </w:rPr>
        <w:t>Applicable N-1, voltage, thermal, protection and short-circuit policy.</w:t>
      </w:r>
    </w:p>
    <w:p>
      <w:pPr>
        <w:pStyle w:val="ListBullet"/>
        <w:spacing w:after="80" w:line="269" w:lineRule="auto"/>
      </w:pPr>
      <w:r>
        <w:rPr>
          <w:rFonts w:ascii="Aptos" w:hAnsi="Aptos"/>
          <w:b w:val="0"/>
          <w:i w:val="0"/>
          <w:color w:val="102534"/>
          <w:sz w:val="20"/>
        </w:rPr>
        <w:t>Contracted demand, accepted-but-not-connected demand, queues and reservations.</w:t>
      </w:r>
    </w:p>
    <w:p>
      <w:pPr>
        <w:pStyle w:val="ListBullet"/>
        <w:spacing w:after="80" w:line="269" w:lineRule="auto"/>
      </w:pPr>
      <w:r>
        <w:rPr>
          <w:rFonts w:ascii="Aptos" w:hAnsi="Aptos"/>
          <w:b w:val="0"/>
          <w:i w:val="0"/>
          <w:color w:val="102534"/>
          <w:sz w:val="20"/>
        </w:rPr>
        <w:t>Pseudonymized historical connection requests and their firm, conditional or rejected outcomes.</w:t>
      </w:r>
    </w:p>
    <w:p>
      <w:pPr>
        <w:pStyle w:val="Heading2"/>
        <w:keepNext/>
        <w:pageBreakBefore w:val="0"/>
      </w:pPr>
      <w:r>
        <w:rPr>
          <w:rFonts w:ascii="Aptos" w:hAnsi="Aptos"/>
          <w:b/>
          <w:i w:val="0"/>
          <w:color w:val="0D2A42"/>
          <w:sz w:val="28"/>
        </w:rPr>
        <w:t>9.2 From 50Hertz or the relevant TSO</w:t>
      </w:r>
    </w:p>
    <w:p>
      <w:pPr>
        <w:pStyle w:val="ListBullet"/>
        <w:spacing w:after="80" w:line="269" w:lineRule="auto"/>
      </w:pPr>
      <w:r>
        <w:rPr>
          <w:rFonts w:ascii="Aptos" w:hAnsi="Aptos"/>
          <w:b w:val="0"/>
          <w:i w:val="0"/>
          <w:color w:val="102534"/>
          <w:sz w:val="20"/>
        </w:rPr>
        <w:t>Upstream network model or approved reduced model, boundary conditions and transfer limits.</w:t>
      </w:r>
    </w:p>
    <w:p>
      <w:pPr>
        <w:pStyle w:val="ListBullet"/>
        <w:spacing w:after="80" w:line="269" w:lineRule="auto"/>
      </w:pPr>
      <w:r>
        <w:rPr>
          <w:rFonts w:ascii="Aptos" w:hAnsi="Aptos"/>
          <w:b w:val="0"/>
          <w:i w:val="0"/>
          <w:color w:val="102534"/>
          <w:sz w:val="20"/>
        </w:rPr>
        <w:t>Historic operating states, outage revisions and remedial-action context.</w:t>
      </w:r>
    </w:p>
    <w:p>
      <w:pPr>
        <w:pStyle w:val="ListBullet"/>
        <w:spacing w:after="80" w:line="269" w:lineRule="auto"/>
      </w:pPr>
      <w:r>
        <w:rPr>
          <w:rFonts w:ascii="Aptos" w:hAnsi="Aptos"/>
          <w:b w:val="0"/>
          <w:i w:val="0"/>
          <w:color w:val="102534"/>
          <w:sz w:val="20"/>
        </w:rPr>
        <w:t>Security criteria and the interaction between TSO constraints and the DSO connection study.</w:t>
      </w:r>
    </w:p>
    <w:p>
      <w:pPr>
        <w:pStyle w:val="Heading2"/>
        <w:keepNext/>
        <w:pageBreakBefore w:val="0"/>
      </w:pPr>
      <w:r>
        <w:rPr>
          <w:rFonts w:ascii="Aptos" w:hAnsi="Aptos"/>
          <w:b/>
          <w:i w:val="0"/>
          <w:color w:val="0D2A42"/>
          <w:sz w:val="28"/>
        </w:rPr>
        <w:t>9.3 From the data-centre developer</w:t>
      </w:r>
    </w:p>
    <w:p>
      <w:pPr>
        <w:pStyle w:val="ListBullet"/>
        <w:spacing w:after="80" w:line="269" w:lineRule="auto"/>
      </w:pPr>
      <w:r>
        <w:rPr>
          <w:rFonts w:ascii="Aptos" w:hAnsi="Aptos"/>
          <w:b w:val="0"/>
          <w:i w:val="0"/>
          <w:color w:val="102534"/>
          <w:sz w:val="20"/>
        </w:rPr>
        <w:t>Real hourly or 15-minute IT and facility load profile, ramp and growth plan.</w:t>
      </w:r>
    </w:p>
    <w:p>
      <w:pPr>
        <w:pStyle w:val="ListBullet"/>
        <w:spacing w:after="80" w:line="269" w:lineRule="auto"/>
      </w:pPr>
      <w:r>
        <w:rPr>
          <w:rFonts w:ascii="Aptos" w:hAnsi="Aptos"/>
          <w:b w:val="0"/>
          <w:i w:val="0"/>
          <w:color w:val="102534"/>
          <w:sz w:val="20"/>
        </w:rPr>
        <w:t>Critical-load floor, flexible workload, deadlines and service-level penalties.</w:t>
      </w:r>
    </w:p>
    <w:p>
      <w:pPr>
        <w:pStyle w:val="ListBullet"/>
        <w:spacing w:after="80" w:line="269" w:lineRule="auto"/>
      </w:pPr>
      <w:r>
        <w:rPr>
          <w:rFonts w:ascii="Aptos" w:hAnsi="Aptos"/>
          <w:b w:val="0"/>
          <w:i w:val="0"/>
          <w:color w:val="102534"/>
          <w:sz w:val="20"/>
        </w:rPr>
        <w:t>UPS/battery telemetry, efficiencies, reserve requirements and degradation economics.</w:t>
      </w:r>
    </w:p>
    <w:p>
      <w:pPr>
        <w:pStyle w:val="ListBullet"/>
        <w:spacing w:after="80" w:line="269" w:lineRule="auto"/>
      </w:pPr>
      <w:r>
        <w:rPr>
          <w:rFonts w:ascii="Aptos" w:hAnsi="Aptos"/>
          <w:b w:val="0"/>
          <w:i w:val="0"/>
          <w:color w:val="102534"/>
          <w:sz w:val="20"/>
        </w:rPr>
        <w:t>Backup-generation availability and legal/contractual operating limits.</w:t>
      </w:r>
    </w:p>
    <w:p>
      <w:pPr>
        <w:pStyle w:val="ListBullet"/>
        <w:spacing w:after="80" w:line="269" w:lineRule="auto"/>
      </w:pPr>
      <w:r>
        <w:rPr>
          <w:rFonts w:ascii="Aptos" w:hAnsi="Aptos"/>
          <w:b w:val="0"/>
          <w:i w:val="0"/>
          <w:color w:val="102534"/>
          <w:sz w:val="20"/>
        </w:rPr>
        <w:t>Target date, staged MW/MVA request, power factor and minimum acceptable partial capacity.</w:t>
      </w:r>
    </w:p>
    <w:p>
      <w:pPr>
        <w:pStyle w:val="Heading1"/>
        <w:keepNext/>
        <w:pageBreakBefore/>
      </w:pPr>
      <w:r>
        <w:rPr>
          <w:rFonts w:ascii="Aptos" w:hAnsi="Aptos"/>
          <w:b/>
          <w:i w:val="0"/>
          <w:color w:val="071A2B"/>
          <w:sz w:val="42"/>
        </w:rPr>
        <w:t>10. Operator pilot design</w:t>
      </w:r>
    </w:p>
    <w:p>
      <w:pPr>
        <w:keepNext w:val="0"/>
        <w:spacing w:before="0" w:after="140" w:line="278" w:lineRule="auto"/>
        <w:jc w:val="left"/>
      </w:pPr>
      <w:r>
        <w:rPr>
          <w:rFonts w:ascii="Aptos" w:hAnsi="Aptos"/>
          <w:b w:val="0"/>
          <w:i w:val="0"/>
          <w:color w:val="102534"/>
          <w:sz w:val="21"/>
        </w:rPr>
        <w:t>The minimum viable pilot does not require public release of confidential network data. It can run inside an operator-approved secure environment with stable random identifiers and agreed geographic aggregation.</w:t>
      </w:r>
    </w:p>
    <w:tbl>
      <w:tblPr>
        <w:tblStyle w:val="TableGrid"/>
        <w:tblW w:type="dxa" w:w="9360"/>
        <w:jc w:val="center"/>
        <w:tblLayout w:type="fixed"/>
        <w:tblLook w:firstColumn="1" w:firstRow="1" w:lastColumn="0" w:lastRow="0" w:noHBand="0" w:noVBand="1" w:val="04A0"/>
        <w:tblLayout w:type="fixed"/>
      </w:tblPr>
      <w:tblGrid>
        <w:gridCol w:w="1600"/>
        <w:gridCol w:w="4300"/>
        <w:gridCol w:w="3460"/>
      </w:tblGrid>
      <w:tr>
        <w:trPr>
          <w:tblHeader w:val="true"/>
        </w:trPr>
        <w:tc>
          <w:tcPr>
            <w:tcW w:type="dxa" w:w="1600"/>
            <w:shd w:fill="0D2A42"/>
            <w:tcMar>
              <w:top w:w="100" w:type="dxa"/>
              <w:start w:w="120" w:type="dxa"/>
              <w:bottom w:w="100" w:type="dxa"/>
              <w:end w:w="120" w:type="dxa"/>
            </w:tcMar>
            <w:vAlign w:val="center"/>
          </w:tcPr>
          <w:p>
            <w:r>
              <w:rPr>
                <w:rFonts w:ascii="Aptos" w:hAnsi="Aptos"/>
                <w:b/>
                <w:i w:val="0"/>
                <w:color w:val="FFFFFF"/>
                <w:sz w:val="17"/>
              </w:rPr>
              <w:t>Phase</w:t>
            </w:r>
          </w:p>
        </w:tc>
        <w:tc>
          <w:tcPr>
            <w:tcW w:type="dxa" w:w="4300"/>
            <w:shd w:fill="0D2A42"/>
            <w:tcMar>
              <w:top w:w="100" w:type="dxa"/>
              <w:start w:w="120" w:type="dxa"/>
              <w:bottom w:w="100" w:type="dxa"/>
              <w:end w:w="120" w:type="dxa"/>
            </w:tcMar>
            <w:vAlign w:val="center"/>
          </w:tcPr>
          <w:p>
            <w:r>
              <w:rPr>
                <w:rFonts w:ascii="Aptos" w:hAnsi="Aptos"/>
                <w:b/>
                <w:i w:val="0"/>
                <w:color w:val="FFFFFF"/>
                <w:sz w:val="17"/>
              </w:rPr>
              <w:t>Activity</w:t>
            </w:r>
          </w:p>
        </w:tc>
        <w:tc>
          <w:tcPr>
            <w:tcW w:type="dxa" w:w="3460"/>
            <w:shd w:fill="0D2A42"/>
            <w:tcMar>
              <w:top w:w="100" w:type="dxa"/>
              <w:start w:w="120" w:type="dxa"/>
              <w:bottom w:w="100" w:type="dxa"/>
              <w:end w:w="120" w:type="dxa"/>
            </w:tcMar>
            <w:vAlign w:val="center"/>
          </w:tcPr>
          <w:p>
            <w:r>
              <w:rPr>
                <w:rFonts w:ascii="Aptos" w:hAnsi="Aptos"/>
                <w:b/>
                <w:i w:val="0"/>
                <w:color w:val="FFFFFF"/>
                <w:sz w:val="17"/>
              </w:rPr>
              <w:t>Output</w:t>
            </w:r>
          </w:p>
        </w:tc>
      </w:tr>
      <w:tr>
        <w:tc>
          <w:tcPr>
            <w:tcW w:type="dxa" w:w="1600"/>
            <w:tcMar>
              <w:top w:w="100" w:type="dxa"/>
              <w:start w:w="120" w:type="dxa"/>
              <w:bottom w:w="100" w:type="dxa"/>
              <w:end w:w="120" w:type="dxa"/>
            </w:tcMar>
            <w:vAlign w:val="center"/>
          </w:tcPr>
          <w:p>
            <w:pPr>
              <w:spacing w:after="0" w:line="252" w:lineRule="auto"/>
            </w:pPr>
            <w:r>
              <w:rPr>
                <w:rFonts w:ascii="Aptos" w:hAnsi="Aptos"/>
                <w:b/>
                <w:i w:val="0"/>
                <w:color w:val="102534"/>
                <w:sz w:val="18"/>
              </w:rPr>
              <w:t>1. Intake</w:t>
            </w:r>
          </w:p>
        </w:tc>
        <w:tc>
          <w:tcPr>
            <w:tcW w:type="dxa" w:w="4300"/>
            <w:tcMar>
              <w:top w:w="100" w:type="dxa"/>
              <w:start w:w="120" w:type="dxa"/>
              <w:bottom w:w="100" w:type="dxa"/>
              <w:end w:w="120" w:type="dxa"/>
            </w:tcMar>
            <w:vAlign w:val="center"/>
          </w:tcPr>
          <w:p>
            <w:pPr>
              <w:spacing w:after="0" w:line="252" w:lineRule="auto"/>
            </w:pPr>
            <w:r>
              <w:rPr>
                <w:rFonts w:ascii="Aptos" w:hAnsi="Aptos"/>
                <w:b w:val="0"/>
                <w:i w:val="0"/>
                <w:color w:val="102534"/>
                <w:sz w:val="18"/>
              </w:rPr>
              <w:t>Validate schema, hashes, units, time zones and permitted uses</w:t>
            </w:r>
          </w:p>
        </w:tc>
        <w:tc>
          <w:tcPr>
            <w:tcW w:type="dxa" w:w="3460"/>
            <w:tcMar>
              <w:top w:w="100" w:type="dxa"/>
              <w:start w:w="120" w:type="dxa"/>
              <w:bottom w:w="100" w:type="dxa"/>
              <w:end w:w="120" w:type="dxa"/>
            </w:tcMar>
            <w:vAlign w:val="center"/>
          </w:tcPr>
          <w:p>
            <w:pPr>
              <w:spacing w:after="0" w:line="252" w:lineRule="auto"/>
            </w:pPr>
            <w:r>
              <w:rPr>
                <w:rFonts w:ascii="Aptos" w:hAnsi="Aptos"/>
                <w:b w:val="0"/>
                <w:i w:val="0"/>
                <w:color w:val="102534"/>
                <w:sz w:val="18"/>
              </w:rPr>
              <w:t>Operator-model unvalidated package</w:t>
            </w:r>
          </w:p>
        </w:tc>
      </w:tr>
      <w:tr>
        <w:tc>
          <w:tcPr>
            <w:tcW w:type="dxa" w:w="16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2. Historical reconstruction</w:t>
            </w:r>
          </w:p>
        </w:tc>
        <w:tc>
          <w:tcPr>
            <w:tcW w:type="dxa" w:w="43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Rebuild only the topology, outages, loading and queue state known at each issue time</w:t>
            </w:r>
          </w:p>
        </w:tc>
        <w:tc>
          <w:tcPr>
            <w:tcW w:type="dxa" w:w="34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Leakage-safe historical states</w:t>
            </w:r>
          </w:p>
        </w:tc>
      </w:tr>
      <w:tr>
        <w:tc>
          <w:tcPr>
            <w:tcW w:type="dxa" w:w="1600"/>
            <w:tcMar>
              <w:top w:w="100" w:type="dxa"/>
              <w:start w:w="120" w:type="dxa"/>
              <w:bottom w:w="100" w:type="dxa"/>
              <w:end w:w="120" w:type="dxa"/>
            </w:tcMar>
            <w:vAlign w:val="center"/>
          </w:tcPr>
          <w:p>
            <w:pPr>
              <w:spacing w:after="0" w:line="252" w:lineRule="auto"/>
            </w:pPr>
            <w:r>
              <w:rPr>
                <w:rFonts w:ascii="Aptos" w:hAnsi="Aptos"/>
                <w:b/>
                <w:i w:val="0"/>
                <w:color w:val="102534"/>
                <w:sz w:val="18"/>
              </w:rPr>
              <w:t>3. Frozen predictions</w:t>
            </w:r>
          </w:p>
        </w:tc>
        <w:tc>
          <w:tcPr>
            <w:tcW w:type="dxa" w:w="4300"/>
            <w:tcMar>
              <w:top w:w="100" w:type="dxa"/>
              <w:start w:w="120" w:type="dxa"/>
              <w:bottom w:w="100" w:type="dxa"/>
              <w:end w:w="120" w:type="dxa"/>
            </w:tcMar>
            <w:vAlign w:val="center"/>
          </w:tcPr>
          <w:p>
            <w:pPr>
              <w:spacing w:after="0" w:line="252" w:lineRule="auto"/>
            </w:pPr>
            <w:r>
              <w:rPr>
                <w:rFonts w:ascii="Aptos" w:hAnsi="Aptos"/>
                <w:b w:val="0"/>
                <w:i w:val="0"/>
                <w:color w:val="102534"/>
                <w:sz w:val="18"/>
              </w:rPr>
              <w:t>Generate risk and connection-envelope predictions before reading outcomes</w:t>
            </w:r>
          </w:p>
        </w:tc>
        <w:tc>
          <w:tcPr>
            <w:tcW w:type="dxa" w:w="3460"/>
            <w:tcMar>
              <w:top w:w="100" w:type="dxa"/>
              <w:start w:w="120" w:type="dxa"/>
              <w:bottom w:w="100" w:type="dxa"/>
              <w:end w:w="120" w:type="dxa"/>
            </w:tcMar>
            <w:vAlign w:val="center"/>
          </w:tcPr>
          <w:p>
            <w:pPr>
              <w:spacing w:after="0" w:line="252" w:lineRule="auto"/>
            </w:pPr>
            <w:r>
              <w:rPr>
                <w:rFonts w:ascii="Aptos" w:hAnsi="Aptos"/>
                <w:b w:val="0"/>
                <w:i w:val="0"/>
                <w:color w:val="102534"/>
                <w:sz w:val="18"/>
              </w:rPr>
              <w:t>Auditable prediction ledger</w:t>
            </w:r>
          </w:p>
        </w:tc>
      </w:tr>
      <w:tr>
        <w:tc>
          <w:tcPr>
            <w:tcW w:type="dxa" w:w="16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4. Reconciliation</w:t>
            </w:r>
          </w:p>
        </w:tc>
        <w:tc>
          <w:tcPr>
            <w:tcW w:type="dxa" w:w="43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Compare with actual operator study outcomes and binding constraints</w:t>
            </w:r>
          </w:p>
        </w:tc>
        <w:tc>
          <w:tcPr>
            <w:tcW w:type="dxa" w:w="34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Error, calibration and constraint-match metrics</w:t>
            </w:r>
          </w:p>
        </w:tc>
      </w:tr>
      <w:tr>
        <w:tc>
          <w:tcPr>
            <w:tcW w:type="dxa" w:w="1600"/>
            <w:tcMar>
              <w:top w:w="100" w:type="dxa"/>
              <w:start w:w="120" w:type="dxa"/>
              <w:bottom w:w="100" w:type="dxa"/>
              <w:end w:w="120" w:type="dxa"/>
            </w:tcMar>
            <w:vAlign w:val="center"/>
          </w:tcPr>
          <w:p>
            <w:pPr>
              <w:spacing w:after="0" w:line="252" w:lineRule="auto"/>
            </w:pPr>
            <w:r>
              <w:rPr>
                <w:rFonts w:ascii="Aptos" w:hAnsi="Aptos"/>
                <w:b/>
                <w:i w:val="0"/>
                <w:color w:val="102534"/>
                <w:sz w:val="18"/>
              </w:rPr>
              <w:t>5. Review</w:t>
            </w:r>
          </w:p>
        </w:tc>
        <w:tc>
          <w:tcPr>
            <w:tcW w:type="dxa" w:w="4300"/>
            <w:tcMar>
              <w:top w:w="100" w:type="dxa"/>
              <w:start w:w="120" w:type="dxa"/>
              <w:bottom w:w="100" w:type="dxa"/>
              <w:end w:w="120" w:type="dxa"/>
            </w:tcMar>
            <w:vAlign w:val="center"/>
          </w:tcPr>
          <w:p>
            <w:pPr>
              <w:spacing w:after="0" w:line="252" w:lineRule="auto"/>
            </w:pPr>
            <w:r>
              <w:rPr>
                <w:rFonts w:ascii="Aptos" w:hAnsi="Aptos"/>
                <w:b w:val="0"/>
                <w:i w:val="0"/>
                <w:color w:val="102534"/>
                <w:sz w:val="18"/>
              </w:rPr>
              <w:t>Operator reviews method, caveats and permissible output language</w:t>
            </w:r>
          </w:p>
        </w:tc>
        <w:tc>
          <w:tcPr>
            <w:tcW w:type="dxa" w:w="3460"/>
            <w:tcMar>
              <w:top w:w="100" w:type="dxa"/>
              <w:start w:w="120" w:type="dxa"/>
              <w:bottom w:w="100" w:type="dxa"/>
              <w:end w:w="120" w:type="dxa"/>
            </w:tcMar>
            <w:vAlign w:val="center"/>
          </w:tcPr>
          <w:p>
            <w:pPr>
              <w:spacing w:after="0" w:line="252" w:lineRule="auto"/>
            </w:pPr>
            <w:r>
              <w:rPr>
                <w:rFonts w:ascii="Aptos" w:hAnsi="Aptos"/>
                <w:b w:val="0"/>
                <w:i w:val="0"/>
                <w:color w:val="102534"/>
                <w:sz w:val="18"/>
              </w:rPr>
              <w:t>Potential operator-reconciled release</w:t>
            </w:r>
          </w:p>
        </w:tc>
      </w:tr>
    </w:tbl>
    <w:p>
      <w:pPr>
        <w:spacing w:after="40"/>
      </w:pPr>
    </w:p>
    <w:p>
      <w:pPr>
        <w:keepNext w:val="0"/>
        <w:spacing w:before="0" w:after="140" w:line="278" w:lineRule="auto"/>
        <w:jc w:val="left"/>
      </w:pPr>
      <w:r>
        <w:rPr>
          <w:rFonts w:ascii="Aptos" w:hAnsi="Aptos"/>
          <w:b w:val="0"/>
          <w:i w:val="0"/>
          <w:color w:val="102534"/>
          <w:sz w:val="21"/>
        </w:rPr>
        <w:t>Customer identities, exact topology, loading, queues, protection settings and commercially sensitive connection outcomes would never be published. Public outputs would contain only operator-approved aggregate validation metrics.</w:t>
      </w:r>
    </w:p>
    <w:p>
      <w:pPr>
        <w:pStyle w:val="Heading1"/>
        <w:keepNext/>
        <w:pageBreakBefore/>
      </w:pPr>
      <w:r>
        <w:rPr>
          <w:rFonts w:ascii="Aptos" w:hAnsi="Aptos"/>
          <w:b/>
          <w:i w:val="0"/>
          <w:color w:val="071A2B"/>
          <w:sz w:val="42"/>
        </w:rPr>
        <w:t>11. Product roadmap and investable milestones</w:t>
      </w:r>
    </w:p>
    <w:tbl>
      <w:tblPr>
        <w:tblStyle w:val="TableGrid"/>
        <w:tblW w:type="dxa" w:w="9360"/>
        <w:jc w:val="center"/>
        <w:tblLayout w:type="fixed"/>
        <w:tblLook w:firstColumn="1" w:firstRow="1" w:lastColumn="0" w:lastRow="0" w:noHBand="0" w:noVBand="1" w:val="04A0"/>
        <w:tblLayout w:type="fixed"/>
      </w:tblPr>
      <w:tblGrid>
        <w:gridCol w:w="1900"/>
        <w:gridCol w:w="4300"/>
        <w:gridCol w:w="3160"/>
      </w:tblGrid>
      <w:tr>
        <w:trPr>
          <w:tblHeader w:val="true"/>
        </w:trPr>
        <w:tc>
          <w:tcPr>
            <w:tcW w:type="dxa" w:w="1900"/>
            <w:shd w:fill="0D2A42"/>
            <w:tcMar>
              <w:top w:w="100" w:type="dxa"/>
              <w:start w:w="120" w:type="dxa"/>
              <w:bottom w:w="100" w:type="dxa"/>
              <w:end w:w="120" w:type="dxa"/>
            </w:tcMar>
            <w:vAlign w:val="center"/>
          </w:tcPr>
          <w:p>
            <w:r>
              <w:rPr>
                <w:rFonts w:ascii="Aptos" w:hAnsi="Aptos"/>
                <w:b/>
                <w:i w:val="0"/>
                <w:color w:val="FFFFFF"/>
                <w:sz w:val="17"/>
              </w:rPr>
              <w:t>Milestone</w:t>
            </w:r>
          </w:p>
        </w:tc>
        <w:tc>
          <w:tcPr>
            <w:tcW w:type="dxa" w:w="4300"/>
            <w:shd w:fill="0D2A42"/>
            <w:tcMar>
              <w:top w:w="100" w:type="dxa"/>
              <w:start w:w="120" w:type="dxa"/>
              <w:bottom w:w="100" w:type="dxa"/>
              <w:end w:w="120" w:type="dxa"/>
            </w:tcMar>
            <w:vAlign w:val="center"/>
          </w:tcPr>
          <w:p>
            <w:r>
              <w:rPr>
                <w:rFonts w:ascii="Aptos" w:hAnsi="Aptos"/>
                <w:b/>
                <w:i w:val="0"/>
                <w:color w:val="FFFFFF"/>
                <w:sz w:val="17"/>
              </w:rPr>
              <w:t>Deliverable</w:t>
            </w:r>
          </w:p>
        </w:tc>
        <w:tc>
          <w:tcPr>
            <w:tcW w:type="dxa" w:w="3160"/>
            <w:shd w:fill="0D2A42"/>
            <w:tcMar>
              <w:top w:w="100" w:type="dxa"/>
              <w:start w:w="120" w:type="dxa"/>
              <w:bottom w:w="100" w:type="dxa"/>
              <w:end w:w="120" w:type="dxa"/>
            </w:tcMar>
            <w:vAlign w:val="center"/>
          </w:tcPr>
          <w:p>
            <w:r>
              <w:rPr>
                <w:rFonts w:ascii="Aptos" w:hAnsi="Aptos"/>
                <w:b/>
                <w:i w:val="0"/>
                <w:color w:val="FFFFFF"/>
                <w:sz w:val="17"/>
              </w:rPr>
              <w:t>Success criterion</w:t>
            </w:r>
          </w:p>
        </w:tc>
      </w:tr>
      <w:tr>
        <w:tc>
          <w:tcPr>
            <w:tcW w:type="dxa" w:w="1900"/>
            <w:tcMar>
              <w:top w:w="100" w:type="dxa"/>
              <w:start w:w="120" w:type="dxa"/>
              <w:bottom w:w="100" w:type="dxa"/>
              <w:end w:w="120" w:type="dxa"/>
            </w:tcMar>
            <w:vAlign w:val="center"/>
          </w:tcPr>
          <w:p>
            <w:pPr>
              <w:spacing w:after="0" w:line="252" w:lineRule="auto"/>
            </w:pPr>
            <w:r>
              <w:rPr>
                <w:rFonts w:ascii="Aptos" w:hAnsi="Aptos"/>
                <w:b/>
                <w:i w:val="0"/>
                <w:color w:val="102534"/>
                <w:sz w:val="18"/>
              </w:rPr>
              <w:t>M1 Evidence operations</w:t>
            </w:r>
          </w:p>
        </w:tc>
        <w:tc>
          <w:tcPr>
            <w:tcW w:type="dxa" w:w="4300"/>
            <w:tcMar>
              <w:top w:w="100" w:type="dxa"/>
              <w:start w:w="120" w:type="dxa"/>
              <w:bottom w:w="100" w:type="dxa"/>
              <w:end w:w="120" w:type="dxa"/>
            </w:tcMar>
            <w:vAlign w:val="center"/>
          </w:tcPr>
          <w:p>
            <w:pPr>
              <w:spacing w:after="0" w:line="252" w:lineRule="auto"/>
            </w:pPr>
            <w:r>
              <w:rPr>
                <w:rFonts w:ascii="Aptos" w:hAnsi="Aptos"/>
                <w:b w:val="0"/>
                <w:i w:val="0"/>
                <w:color w:val="102534"/>
                <w:sz w:val="18"/>
              </w:rPr>
              <w:t>Continuous 50Hertz/ENTSO-E snapshots and consolidated report index</w:t>
            </w:r>
          </w:p>
        </w:tc>
        <w:tc>
          <w:tcPr>
            <w:tcW w:type="dxa" w:w="3160"/>
            <w:tcMar>
              <w:top w:w="100" w:type="dxa"/>
              <w:start w:w="120" w:type="dxa"/>
              <w:bottom w:w="100" w:type="dxa"/>
              <w:end w:w="120" w:type="dxa"/>
            </w:tcMar>
            <w:vAlign w:val="center"/>
          </w:tcPr>
          <w:p>
            <w:pPr>
              <w:spacing w:after="0" w:line="252" w:lineRule="auto"/>
            </w:pPr>
            <w:r>
              <w:rPr>
                <w:rFonts w:ascii="Aptos" w:hAnsi="Aptos"/>
                <w:b w:val="0"/>
                <w:i w:val="0"/>
                <w:color w:val="102534"/>
                <w:sz w:val="18"/>
              </w:rPr>
              <w:t>Complete monitoring ledger; no stale-report ambiguity</w:t>
            </w:r>
          </w:p>
        </w:tc>
      </w:tr>
      <w:tr>
        <w:tc>
          <w:tcPr>
            <w:tcW w:type="dxa" w:w="19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M2 Public screening product</w:t>
            </w:r>
          </w:p>
        </w:tc>
        <w:tc>
          <w:tcPr>
            <w:tcW w:type="dxa" w:w="43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Regional evidence, risk and missing-data UI</w:t>
            </w:r>
          </w:p>
        </w:tc>
        <w:tc>
          <w:tcPr>
            <w:tcW w:type="dxa" w:w="31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No available-MW claim; reproducible evidence trail</w:t>
            </w:r>
          </w:p>
        </w:tc>
      </w:tr>
      <w:tr>
        <w:tc>
          <w:tcPr>
            <w:tcW w:type="dxa" w:w="1900"/>
            <w:tcMar>
              <w:top w:w="100" w:type="dxa"/>
              <w:start w:w="120" w:type="dxa"/>
              <w:bottom w:w="100" w:type="dxa"/>
              <w:end w:w="120" w:type="dxa"/>
            </w:tcMar>
            <w:vAlign w:val="center"/>
          </w:tcPr>
          <w:p>
            <w:pPr>
              <w:spacing w:after="0" w:line="252" w:lineRule="auto"/>
            </w:pPr>
            <w:r>
              <w:rPr>
                <w:rFonts w:ascii="Aptos" w:hAnsi="Aptos"/>
                <w:b/>
                <w:i w:val="0"/>
                <w:color w:val="102534"/>
                <w:sz w:val="18"/>
              </w:rPr>
              <w:t>M3 Safe hourly synthetic benchmark</w:t>
            </w:r>
          </w:p>
        </w:tc>
        <w:tc>
          <w:tcPr>
            <w:tcW w:type="dxa" w:w="4300"/>
            <w:tcMar>
              <w:top w:w="100" w:type="dxa"/>
              <w:start w:w="120" w:type="dxa"/>
              <w:bottom w:w="100" w:type="dxa"/>
              <w:end w:w="120" w:type="dxa"/>
            </w:tcMar>
            <w:vAlign w:val="center"/>
          </w:tcPr>
          <w:p>
            <w:pPr>
              <w:spacing w:after="0" w:line="252" w:lineRule="auto"/>
            </w:pPr>
            <w:r>
              <w:rPr>
                <w:rFonts w:ascii="Aptos" w:hAnsi="Aptos"/>
                <w:b w:val="0"/>
                <w:i w:val="0"/>
                <w:color w:val="102534"/>
                <w:sz w:val="18"/>
              </w:rPr>
              <w:t>Solved/bounded AC envelopes used by DeFlex</w:t>
            </w:r>
          </w:p>
        </w:tc>
        <w:tc>
          <w:tcPr>
            <w:tcW w:type="dxa" w:w="3160"/>
            <w:tcMar>
              <w:top w:w="100" w:type="dxa"/>
              <w:start w:w="120" w:type="dxa"/>
              <w:bottom w:w="100" w:type="dxa"/>
              <w:end w:w="120" w:type="dxa"/>
            </w:tcMar>
            <w:vAlign w:val="center"/>
          </w:tcPr>
          <w:p>
            <w:pPr>
              <w:spacing w:after="0" w:line="252" w:lineRule="auto"/>
            </w:pPr>
            <w:r>
              <w:rPr>
                <w:rFonts w:ascii="Aptos" w:hAnsi="Aptos"/>
                <w:b w:val="0"/>
                <w:i w:val="0"/>
                <w:color w:val="102534"/>
                <w:sz w:val="18"/>
              </w:rPr>
              <w:t>Overstatement and coverage gates pass on unseen families</w:t>
            </w:r>
          </w:p>
        </w:tc>
      </w:tr>
      <w:tr>
        <w:tc>
          <w:tcPr>
            <w:tcW w:type="dxa" w:w="19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M4 Operator pilot</w:t>
            </w:r>
          </w:p>
        </w:tc>
        <w:tc>
          <w:tcPr>
            <w:tcW w:type="dxa" w:w="43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Confidential DSO/TSO package and frozen historical predictions</w:t>
            </w:r>
          </w:p>
        </w:tc>
        <w:tc>
          <w:tcPr>
            <w:tcW w:type="dxa" w:w="31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Operator accepts data contract and evaluation protocol</w:t>
            </w:r>
          </w:p>
        </w:tc>
      </w:tr>
      <w:tr>
        <w:tc>
          <w:tcPr>
            <w:tcW w:type="dxa" w:w="1900"/>
            <w:tcMar>
              <w:top w:w="100" w:type="dxa"/>
              <w:start w:w="120" w:type="dxa"/>
              <w:bottom w:w="100" w:type="dxa"/>
              <w:end w:w="120" w:type="dxa"/>
            </w:tcMar>
            <w:vAlign w:val="center"/>
          </w:tcPr>
          <w:p>
            <w:pPr>
              <w:spacing w:after="0" w:line="252" w:lineRule="auto"/>
            </w:pPr>
            <w:r>
              <w:rPr>
                <w:rFonts w:ascii="Aptos" w:hAnsi="Aptos"/>
                <w:b/>
                <w:i w:val="0"/>
                <w:color w:val="102534"/>
                <w:sz w:val="18"/>
              </w:rPr>
              <w:t>M5 Historical reconciliation</w:t>
            </w:r>
          </w:p>
        </w:tc>
        <w:tc>
          <w:tcPr>
            <w:tcW w:type="dxa" w:w="4300"/>
            <w:tcMar>
              <w:top w:w="100" w:type="dxa"/>
              <w:start w:w="120" w:type="dxa"/>
              <w:bottom w:w="100" w:type="dxa"/>
              <w:end w:w="120" w:type="dxa"/>
            </w:tcMar>
            <w:vAlign w:val="center"/>
          </w:tcPr>
          <w:p>
            <w:pPr>
              <w:spacing w:after="0" w:line="252" w:lineRule="auto"/>
            </w:pPr>
            <w:r>
              <w:rPr>
                <w:rFonts w:ascii="Aptos" w:hAnsi="Aptos"/>
                <w:b w:val="0"/>
                <w:i w:val="0"/>
                <w:color w:val="102534"/>
                <w:sz w:val="18"/>
              </w:rPr>
              <w:t>Comparison against connection decisions</w:t>
            </w:r>
          </w:p>
        </w:tc>
        <w:tc>
          <w:tcPr>
            <w:tcW w:type="dxa" w:w="3160"/>
            <w:tcMar>
              <w:top w:w="100" w:type="dxa"/>
              <w:start w:w="120" w:type="dxa"/>
              <w:bottom w:w="100" w:type="dxa"/>
              <w:end w:w="120" w:type="dxa"/>
            </w:tcMar>
            <w:vAlign w:val="center"/>
          </w:tcPr>
          <w:p>
            <w:pPr>
              <w:spacing w:after="0" w:line="252" w:lineRule="auto"/>
            </w:pPr>
            <w:r>
              <w:rPr>
                <w:rFonts w:ascii="Aptos" w:hAnsi="Aptos"/>
                <w:b w:val="0"/>
                <w:i w:val="0"/>
                <w:color w:val="102534"/>
                <w:sz w:val="18"/>
              </w:rPr>
              <w:t>Stable results by period and network area</w:t>
            </w:r>
          </w:p>
        </w:tc>
      </w:tr>
      <w:tr>
        <w:tc>
          <w:tcPr>
            <w:tcW w:type="dxa" w:w="19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M6 Operator-confirmed workflow</w:t>
            </w:r>
          </w:p>
        </w:tc>
        <w:tc>
          <w:tcPr>
            <w:tcW w:type="dxa" w:w="43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Site-specific reviewed output</w:t>
            </w:r>
          </w:p>
        </w:tc>
        <w:tc>
          <w:tcPr>
            <w:tcW w:type="dxa" w:w="31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Operator explicitly confirms permissible MW statement</w:t>
            </w:r>
          </w:p>
        </w:tc>
      </w:tr>
    </w:tbl>
    <w:p>
      <w:pPr>
        <w:spacing w:after="40"/>
      </w:pPr>
    </w:p>
    <w:p>
      <w:pPr>
        <w:pStyle w:val="Heading2"/>
        <w:keepNext/>
        <w:pageBreakBefore w:val="0"/>
      </w:pPr>
      <w:r>
        <w:rPr>
          <w:rFonts w:ascii="Aptos" w:hAnsi="Aptos"/>
          <w:b/>
          <w:i w:val="0"/>
          <w:color w:val="0D2A42"/>
          <w:sz w:val="28"/>
        </w:rPr>
        <w:t>Commercialization before operator integration</w:t>
      </w:r>
    </w:p>
    <w:p>
      <w:pPr>
        <w:keepNext w:val="0"/>
        <w:spacing w:before="0" w:after="140" w:line="278" w:lineRule="auto"/>
        <w:jc w:val="left"/>
      </w:pPr>
      <w:r>
        <w:rPr>
          <w:rFonts w:ascii="Aptos" w:hAnsi="Aptos"/>
          <w:b w:val="0"/>
          <w:i w:val="0"/>
          <w:color w:val="102534"/>
          <w:sz w:val="21"/>
        </w:rPr>
        <w:t>GridPulse does not need to wait for full DSO integration to create customer value. It can sell evidence-led site screening, comparative investigation, connection-application preparation and customer-defined flexibility analysis. The output must consistently state that available MW is unknown until operator confirmation.</w:t>
      </w:r>
    </w:p>
    <w:p>
      <w:pPr>
        <w:pStyle w:val="Heading1"/>
        <w:keepNext/>
        <w:pageBreakBefore/>
      </w:pPr>
      <w:r>
        <w:rPr>
          <w:rFonts w:ascii="Aptos" w:hAnsi="Aptos"/>
          <w:b/>
          <w:i w:val="0"/>
          <w:color w:val="071A2B"/>
          <w:sz w:val="42"/>
        </w:rPr>
        <w:t>12. Risk register</w:t>
      </w:r>
    </w:p>
    <w:tbl>
      <w:tblPr>
        <w:tblStyle w:val="TableGrid"/>
        <w:tblW w:type="dxa" w:w="9360"/>
        <w:jc w:val="center"/>
        <w:tblLayout w:type="fixed"/>
        <w:tblLook w:firstColumn="1" w:firstRow="1" w:lastColumn="0" w:lastRow="0" w:noHBand="0" w:noVBand="1" w:val="04A0"/>
        <w:tblLayout w:type="fixed"/>
      </w:tblPr>
      <w:tblGrid>
        <w:gridCol w:w="2200"/>
        <w:gridCol w:w="3500"/>
        <w:gridCol w:w="3660"/>
      </w:tblGrid>
      <w:tr>
        <w:trPr>
          <w:tblHeader w:val="true"/>
        </w:trPr>
        <w:tc>
          <w:tcPr>
            <w:tcW w:type="dxa" w:w="2200"/>
            <w:shd w:fill="0D2A42"/>
            <w:tcMar>
              <w:top w:w="100" w:type="dxa"/>
              <w:start w:w="120" w:type="dxa"/>
              <w:bottom w:w="100" w:type="dxa"/>
              <w:end w:w="120" w:type="dxa"/>
            </w:tcMar>
            <w:vAlign w:val="center"/>
          </w:tcPr>
          <w:p>
            <w:r>
              <w:rPr>
                <w:rFonts w:ascii="Aptos" w:hAnsi="Aptos"/>
                <w:b/>
                <w:i w:val="0"/>
                <w:color w:val="FFFFFF"/>
                <w:sz w:val="17"/>
              </w:rPr>
              <w:t>Risk</w:t>
            </w:r>
          </w:p>
        </w:tc>
        <w:tc>
          <w:tcPr>
            <w:tcW w:type="dxa" w:w="3500"/>
            <w:shd w:fill="0D2A42"/>
            <w:tcMar>
              <w:top w:w="100" w:type="dxa"/>
              <w:start w:w="120" w:type="dxa"/>
              <w:bottom w:w="100" w:type="dxa"/>
              <w:end w:w="120" w:type="dxa"/>
            </w:tcMar>
            <w:vAlign w:val="center"/>
          </w:tcPr>
          <w:p>
            <w:r>
              <w:rPr>
                <w:rFonts w:ascii="Aptos" w:hAnsi="Aptos"/>
                <w:b/>
                <w:i w:val="0"/>
                <w:color w:val="FFFFFF"/>
                <w:sz w:val="17"/>
              </w:rPr>
              <w:t>Why it matters</w:t>
            </w:r>
          </w:p>
        </w:tc>
        <w:tc>
          <w:tcPr>
            <w:tcW w:type="dxa" w:w="3660"/>
            <w:shd w:fill="0D2A42"/>
            <w:tcMar>
              <w:top w:w="100" w:type="dxa"/>
              <w:start w:w="120" w:type="dxa"/>
              <w:bottom w:w="100" w:type="dxa"/>
              <w:end w:w="120" w:type="dxa"/>
            </w:tcMar>
            <w:vAlign w:val="center"/>
          </w:tcPr>
          <w:p>
            <w:r>
              <w:rPr>
                <w:rFonts w:ascii="Aptos" w:hAnsi="Aptos"/>
                <w:b/>
                <w:i w:val="0"/>
                <w:color w:val="FFFFFF"/>
                <w:sz w:val="17"/>
              </w:rPr>
              <w:t>Mitigation</w:t>
            </w:r>
          </w:p>
        </w:tc>
      </w:tr>
      <w:tr>
        <w:tc>
          <w:tcPr>
            <w:tcW w:type="dxa" w:w="2200"/>
            <w:tcMar>
              <w:top w:w="100" w:type="dxa"/>
              <w:start w:w="120" w:type="dxa"/>
              <w:bottom w:w="100" w:type="dxa"/>
              <w:end w:w="120" w:type="dxa"/>
            </w:tcMar>
            <w:vAlign w:val="center"/>
          </w:tcPr>
          <w:p>
            <w:pPr>
              <w:spacing w:after="0" w:line="252" w:lineRule="auto"/>
            </w:pPr>
            <w:r>
              <w:rPr>
                <w:rFonts w:ascii="Aptos" w:hAnsi="Aptos"/>
                <w:b/>
                <w:i w:val="0"/>
                <w:color w:val="102534"/>
                <w:sz w:val="17"/>
              </w:rPr>
              <w:t>Operator access</w:t>
            </w:r>
          </w:p>
        </w:tc>
        <w:tc>
          <w:tcPr>
            <w:tcW w:type="dxa" w:w="3500"/>
            <w:tcMar>
              <w:top w:w="100" w:type="dxa"/>
              <w:start w:w="120" w:type="dxa"/>
              <w:bottom w:w="100" w:type="dxa"/>
              <w:end w:w="120" w:type="dxa"/>
            </w:tcMar>
            <w:vAlign w:val="center"/>
          </w:tcPr>
          <w:p>
            <w:pPr>
              <w:spacing w:after="0" w:line="252" w:lineRule="auto"/>
            </w:pPr>
            <w:r>
              <w:rPr>
                <w:rFonts w:ascii="Aptos" w:hAnsi="Aptos"/>
                <w:b w:val="0"/>
                <w:i w:val="0"/>
                <w:color w:val="102534"/>
                <w:sz w:val="17"/>
              </w:rPr>
              <w:t>Decisive data is non-public</w:t>
            </w:r>
          </w:p>
        </w:tc>
        <w:tc>
          <w:tcPr>
            <w:tcW w:type="dxa" w:w="3660"/>
            <w:tcMar>
              <w:top w:w="100" w:type="dxa"/>
              <w:start w:w="120" w:type="dxa"/>
              <w:bottom w:w="100" w:type="dxa"/>
              <w:end w:w="120" w:type="dxa"/>
            </w:tcMar>
            <w:vAlign w:val="center"/>
          </w:tcPr>
          <w:p>
            <w:pPr>
              <w:spacing w:after="0" w:line="252" w:lineRule="auto"/>
            </w:pPr>
            <w:r>
              <w:rPr>
                <w:rFonts w:ascii="Aptos" w:hAnsi="Aptos"/>
                <w:b w:val="0"/>
                <w:i w:val="0"/>
                <w:color w:val="102534"/>
                <w:sz w:val="17"/>
              </w:rPr>
              <w:t>Confidential pilot, anonymization and in-boundary execution</w:t>
            </w:r>
          </w:p>
        </w:tc>
      </w:tr>
      <w:tr>
        <w:tc>
          <w:tcPr>
            <w:tcW w:type="dxa" w:w="2200"/>
            <w:shd w:fill="F4F7F9"/>
            <w:tcMar>
              <w:top w:w="100" w:type="dxa"/>
              <w:start w:w="120" w:type="dxa"/>
              <w:bottom w:w="100" w:type="dxa"/>
              <w:end w:w="120" w:type="dxa"/>
            </w:tcMar>
            <w:vAlign w:val="center"/>
          </w:tcPr>
          <w:p>
            <w:pPr>
              <w:spacing w:after="0" w:line="252" w:lineRule="auto"/>
            </w:pPr>
            <w:r>
              <w:rPr>
                <w:rFonts w:ascii="Aptos" w:hAnsi="Aptos"/>
                <w:b/>
                <w:i w:val="0"/>
                <w:color w:val="102534"/>
                <w:sz w:val="17"/>
              </w:rPr>
              <w:t>False precision</w:t>
            </w:r>
          </w:p>
        </w:tc>
        <w:tc>
          <w:tcPr>
            <w:tcW w:type="dxa" w:w="35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MW outputs can be commercially misleading</w:t>
            </w:r>
          </w:p>
        </w:tc>
        <w:tc>
          <w:tcPr>
            <w:tcW w:type="dxa" w:w="36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Truth classes, null unknowns and release gates</w:t>
            </w:r>
          </w:p>
        </w:tc>
      </w:tr>
      <w:tr>
        <w:tc>
          <w:tcPr>
            <w:tcW w:type="dxa" w:w="2200"/>
            <w:tcMar>
              <w:top w:w="100" w:type="dxa"/>
              <w:start w:w="120" w:type="dxa"/>
              <w:bottom w:w="100" w:type="dxa"/>
              <w:end w:w="120" w:type="dxa"/>
            </w:tcMar>
            <w:vAlign w:val="center"/>
          </w:tcPr>
          <w:p>
            <w:pPr>
              <w:spacing w:after="0" w:line="252" w:lineRule="auto"/>
            </w:pPr>
            <w:r>
              <w:rPr>
                <w:rFonts w:ascii="Aptos" w:hAnsi="Aptos"/>
                <w:b/>
                <w:i w:val="0"/>
                <w:color w:val="102534"/>
                <w:sz w:val="17"/>
              </w:rPr>
              <w:t>Temporal leakage</w:t>
            </w:r>
          </w:p>
        </w:tc>
        <w:tc>
          <w:tcPr>
            <w:tcW w:type="dxa" w:w="3500"/>
            <w:tcMar>
              <w:top w:w="100" w:type="dxa"/>
              <w:start w:w="120" w:type="dxa"/>
              <w:bottom w:w="100" w:type="dxa"/>
              <w:end w:w="120" w:type="dxa"/>
            </w:tcMar>
            <w:vAlign w:val="center"/>
          </w:tcPr>
          <w:p>
            <w:pPr>
              <w:spacing w:after="0" w:line="252" w:lineRule="auto"/>
            </w:pPr>
            <w:r>
              <w:rPr>
                <w:rFonts w:ascii="Aptos" w:hAnsi="Aptos"/>
                <w:b w:val="0"/>
                <w:i w:val="0"/>
                <w:color w:val="102534"/>
                <w:sz w:val="17"/>
              </w:rPr>
              <w:t>Later revisions can inflate historical performance</w:t>
            </w:r>
          </w:p>
        </w:tc>
        <w:tc>
          <w:tcPr>
            <w:tcW w:type="dxa" w:w="3660"/>
            <w:tcMar>
              <w:top w:w="100" w:type="dxa"/>
              <w:start w:w="120" w:type="dxa"/>
              <w:bottom w:w="100" w:type="dxa"/>
              <w:end w:w="120" w:type="dxa"/>
            </w:tcMar>
            <w:vAlign w:val="center"/>
          </w:tcPr>
          <w:p>
            <w:pPr>
              <w:spacing w:after="0" w:line="252" w:lineRule="auto"/>
            </w:pPr>
            <w:r>
              <w:rPr>
                <w:rFonts w:ascii="Aptos" w:hAnsi="Aptos"/>
                <w:b w:val="0"/>
                <w:i w:val="0"/>
                <w:color w:val="102534"/>
                <w:sz w:val="17"/>
              </w:rPr>
              <w:t>Publication-time revision reconstruction</w:t>
            </w:r>
          </w:p>
        </w:tc>
      </w:tr>
      <w:tr>
        <w:tc>
          <w:tcPr>
            <w:tcW w:type="dxa" w:w="2200"/>
            <w:shd w:fill="F4F7F9"/>
            <w:tcMar>
              <w:top w:w="100" w:type="dxa"/>
              <w:start w:w="120" w:type="dxa"/>
              <w:bottom w:w="100" w:type="dxa"/>
              <w:end w:w="120" w:type="dxa"/>
            </w:tcMar>
            <w:vAlign w:val="center"/>
          </w:tcPr>
          <w:p>
            <w:pPr>
              <w:spacing w:after="0" w:line="252" w:lineRule="auto"/>
            </w:pPr>
            <w:r>
              <w:rPr>
                <w:rFonts w:ascii="Aptos" w:hAnsi="Aptos"/>
                <w:b/>
                <w:i w:val="0"/>
                <w:color w:val="102534"/>
                <w:sz w:val="17"/>
              </w:rPr>
              <w:t>Geographic misattribution</w:t>
            </w:r>
          </w:p>
        </w:tc>
        <w:tc>
          <w:tcPr>
            <w:tcW w:type="dxa" w:w="35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Control-area events are not node measurements</w:t>
            </w:r>
          </w:p>
        </w:tc>
        <w:tc>
          <w:tcPr>
            <w:tcW w:type="dxa" w:w="36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Preserve source resolution and identity confidence</w:t>
            </w:r>
          </w:p>
        </w:tc>
      </w:tr>
      <w:tr>
        <w:tc>
          <w:tcPr>
            <w:tcW w:type="dxa" w:w="2200"/>
            <w:tcMar>
              <w:top w:w="100" w:type="dxa"/>
              <w:start w:w="120" w:type="dxa"/>
              <w:bottom w:w="100" w:type="dxa"/>
              <w:end w:w="120" w:type="dxa"/>
            </w:tcMar>
            <w:vAlign w:val="center"/>
          </w:tcPr>
          <w:p>
            <w:pPr>
              <w:spacing w:after="0" w:line="252" w:lineRule="auto"/>
            </w:pPr>
            <w:r>
              <w:rPr>
                <w:rFonts w:ascii="Aptos" w:hAnsi="Aptos"/>
                <w:b/>
                <w:i w:val="0"/>
                <w:color w:val="102534"/>
                <w:sz w:val="17"/>
              </w:rPr>
              <w:t>Synthetic-to-real gap</w:t>
            </w:r>
          </w:p>
        </w:tc>
        <w:tc>
          <w:tcPr>
            <w:tcW w:type="dxa" w:w="3500"/>
            <w:tcMar>
              <w:top w:w="100" w:type="dxa"/>
              <w:start w:w="120" w:type="dxa"/>
              <w:bottom w:w="100" w:type="dxa"/>
              <w:end w:w="120" w:type="dxa"/>
            </w:tcMar>
            <w:vAlign w:val="center"/>
          </w:tcPr>
          <w:p>
            <w:pPr>
              <w:spacing w:after="0" w:line="252" w:lineRule="auto"/>
            </w:pPr>
            <w:r>
              <w:rPr>
                <w:rFonts w:ascii="Aptos" w:hAnsi="Aptos"/>
                <w:b w:val="0"/>
                <w:i w:val="0"/>
                <w:color w:val="102534"/>
                <w:sz w:val="17"/>
              </w:rPr>
              <w:t>Mock physics may not transfer</w:t>
            </w:r>
          </w:p>
        </w:tc>
        <w:tc>
          <w:tcPr>
            <w:tcW w:type="dxa" w:w="3660"/>
            <w:tcMar>
              <w:top w:w="100" w:type="dxa"/>
              <w:start w:w="120" w:type="dxa"/>
              <w:bottom w:w="100" w:type="dxa"/>
              <w:end w:w="120" w:type="dxa"/>
            </w:tcMar>
            <w:vAlign w:val="center"/>
          </w:tcPr>
          <w:p>
            <w:pPr>
              <w:spacing w:after="0" w:line="252" w:lineRule="auto"/>
            </w:pPr>
            <w:r>
              <w:rPr>
                <w:rFonts w:ascii="Aptos" w:hAnsi="Aptos"/>
                <w:b w:val="0"/>
                <w:i w:val="0"/>
                <w:color w:val="102534"/>
                <w:sz w:val="17"/>
              </w:rPr>
              <w:t>Leave-family-out tests plus operator reconciliation</w:t>
            </w:r>
          </w:p>
        </w:tc>
      </w:tr>
      <w:tr>
        <w:tc>
          <w:tcPr>
            <w:tcW w:type="dxa" w:w="2200"/>
            <w:shd w:fill="F4F7F9"/>
            <w:tcMar>
              <w:top w:w="100" w:type="dxa"/>
              <w:start w:w="120" w:type="dxa"/>
              <w:bottom w:w="100" w:type="dxa"/>
              <w:end w:w="120" w:type="dxa"/>
            </w:tcMar>
            <w:vAlign w:val="center"/>
          </w:tcPr>
          <w:p>
            <w:pPr>
              <w:spacing w:after="0" w:line="252" w:lineRule="auto"/>
            </w:pPr>
            <w:r>
              <w:rPr>
                <w:rFonts w:ascii="Aptos" w:hAnsi="Aptos"/>
                <w:b/>
                <w:i w:val="0"/>
                <w:color w:val="102534"/>
                <w:sz w:val="17"/>
              </w:rPr>
              <w:t>Licensing</w:t>
            </w:r>
          </w:p>
        </w:tc>
        <w:tc>
          <w:tcPr>
            <w:tcW w:type="dxa" w:w="350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Public access does not guarantee reuse</w:t>
            </w:r>
          </w:p>
        </w:tc>
        <w:tc>
          <w:tcPr>
            <w:tcW w:type="dxa" w:w="36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7"/>
              </w:rPr>
              <w:t>Explicit admissibility and permitted-use records</w:t>
            </w:r>
          </w:p>
        </w:tc>
      </w:tr>
      <w:tr>
        <w:tc>
          <w:tcPr>
            <w:tcW w:type="dxa" w:w="2200"/>
            <w:tcMar>
              <w:top w:w="100" w:type="dxa"/>
              <w:start w:w="120" w:type="dxa"/>
              <w:bottom w:w="100" w:type="dxa"/>
              <w:end w:w="120" w:type="dxa"/>
            </w:tcMar>
            <w:vAlign w:val="center"/>
          </w:tcPr>
          <w:p>
            <w:pPr>
              <w:spacing w:after="0" w:line="252" w:lineRule="auto"/>
            </w:pPr>
            <w:r>
              <w:rPr>
                <w:rFonts w:ascii="Aptos" w:hAnsi="Aptos"/>
                <w:b/>
                <w:i w:val="0"/>
                <w:color w:val="102534"/>
                <w:sz w:val="17"/>
              </w:rPr>
              <w:t>Flexibility overstatement</w:t>
            </w:r>
          </w:p>
        </w:tc>
        <w:tc>
          <w:tcPr>
            <w:tcW w:type="dxa" w:w="3500"/>
            <w:tcMar>
              <w:top w:w="100" w:type="dxa"/>
              <w:start w:w="120" w:type="dxa"/>
              <w:bottom w:w="100" w:type="dxa"/>
              <w:end w:w="120" w:type="dxa"/>
            </w:tcMar>
            <w:vAlign w:val="center"/>
          </w:tcPr>
          <w:p>
            <w:pPr>
              <w:spacing w:after="0" w:line="252" w:lineRule="auto"/>
            </w:pPr>
            <w:r>
              <w:rPr>
                <w:rFonts w:ascii="Aptos" w:hAnsi="Aptos"/>
                <w:b w:val="0"/>
                <w:i w:val="0"/>
                <w:color w:val="102534"/>
                <w:sz w:val="17"/>
              </w:rPr>
              <w:t>Power and energy duration are easily confused</w:t>
            </w:r>
          </w:p>
        </w:tc>
        <w:tc>
          <w:tcPr>
            <w:tcW w:type="dxa" w:w="3660"/>
            <w:tcMar>
              <w:top w:w="100" w:type="dxa"/>
              <w:start w:w="120" w:type="dxa"/>
              <w:bottom w:w="100" w:type="dxa"/>
              <w:end w:w="120" w:type="dxa"/>
            </w:tcMar>
            <w:vAlign w:val="center"/>
          </w:tcPr>
          <w:p>
            <w:pPr>
              <w:spacing w:after="0" w:line="252" w:lineRule="auto"/>
            </w:pPr>
            <w:r>
              <w:rPr>
                <w:rFonts w:ascii="Aptos" w:hAnsi="Aptos"/>
                <w:b w:val="0"/>
                <w:i w:val="0"/>
                <w:color w:val="102534"/>
                <w:sz w:val="17"/>
              </w:rPr>
              <w:t>Chronological dispatch, SOC, recovery and unserved energy</w:t>
            </w:r>
          </w:p>
        </w:tc>
      </w:tr>
    </w:tbl>
    <w:p>
      <w:pPr>
        <w:spacing w:after="40"/>
      </w:pPr>
    </w:p>
    <w:p>
      <w:pPr>
        <w:pStyle w:val="Heading1"/>
        <w:keepNext/>
        <w:pageBreakBefore/>
      </w:pPr>
      <w:r>
        <w:rPr>
          <w:rFonts w:ascii="Aptos" w:hAnsi="Aptos"/>
          <w:b/>
          <w:i w:val="0"/>
          <w:color w:val="071A2B"/>
          <w:sz w:val="42"/>
        </w:rPr>
        <w:t>13. Technical verification record</w:t>
      </w:r>
    </w:p>
    <w:tbl>
      <w:tblPr>
        <w:tblStyle w:val="TableGrid"/>
        <w:tblW w:type="dxa" w:w="9360"/>
        <w:jc w:val="center"/>
        <w:tblLayout w:type="fixed"/>
        <w:tblLook w:firstColumn="1" w:firstRow="1" w:lastColumn="0" w:lastRow="0" w:noHBand="0" w:noVBand="1" w:val="04A0"/>
        <w:tblLayout w:type="fixed"/>
      </w:tblPr>
      <w:tblGrid>
        <w:gridCol w:w="2900"/>
        <w:gridCol w:w="6460"/>
      </w:tblGrid>
      <w:tr>
        <w:trPr>
          <w:tblHeader w:val="true"/>
        </w:trPr>
        <w:tc>
          <w:tcPr>
            <w:tcW w:type="dxa" w:w="2900"/>
            <w:shd w:fill="0D2A42"/>
            <w:tcMar>
              <w:top w:w="100" w:type="dxa"/>
              <w:start w:w="120" w:type="dxa"/>
              <w:bottom w:w="100" w:type="dxa"/>
              <w:end w:w="120" w:type="dxa"/>
            </w:tcMar>
            <w:vAlign w:val="center"/>
          </w:tcPr>
          <w:p>
            <w:r>
              <w:rPr>
                <w:rFonts w:ascii="Aptos" w:hAnsi="Aptos"/>
                <w:b/>
                <w:i w:val="0"/>
                <w:color w:val="FFFFFF"/>
                <w:sz w:val="17"/>
              </w:rPr>
              <w:t>Check</w:t>
            </w:r>
          </w:p>
        </w:tc>
        <w:tc>
          <w:tcPr>
            <w:tcW w:type="dxa" w:w="6460"/>
            <w:shd w:fill="0D2A42"/>
            <w:tcMar>
              <w:top w:w="100" w:type="dxa"/>
              <w:start w:w="120" w:type="dxa"/>
              <w:bottom w:w="100" w:type="dxa"/>
              <w:end w:w="120" w:type="dxa"/>
            </w:tcMar>
            <w:vAlign w:val="center"/>
          </w:tcPr>
          <w:p>
            <w:r>
              <w:rPr>
                <w:rFonts w:ascii="Aptos" w:hAnsi="Aptos"/>
                <w:b/>
                <w:i w:val="0"/>
                <w:color w:val="FFFFFF"/>
                <w:sz w:val="17"/>
              </w:rPr>
              <w:t>Audit result</w:t>
            </w:r>
          </w:p>
        </w:tc>
      </w:tr>
      <w:tr>
        <w:tc>
          <w:tcPr>
            <w:tcW w:type="dxa" w:w="2900"/>
            <w:tcMar>
              <w:top w:w="100" w:type="dxa"/>
              <w:start w:w="120" w:type="dxa"/>
              <w:bottom w:w="100" w:type="dxa"/>
              <w:end w:w="120" w:type="dxa"/>
            </w:tcMar>
            <w:vAlign w:val="center"/>
          </w:tcPr>
          <w:p>
            <w:pPr>
              <w:spacing w:after="0" w:line="252" w:lineRule="auto"/>
            </w:pPr>
            <w:r>
              <w:rPr>
                <w:rFonts w:ascii="Aptos" w:hAnsi="Aptos"/>
                <w:b/>
                <w:i w:val="0"/>
                <w:color w:val="102534"/>
                <w:sz w:val="18"/>
              </w:rPr>
              <w:t>Git state</w:t>
            </w:r>
          </w:p>
        </w:tc>
        <w:tc>
          <w:tcPr>
            <w:tcW w:type="dxa" w:w="6460"/>
            <w:tcMar>
              <w:top w:w="100" w:type="dxa"/>
              <w:start w:w="120" w:type="dxa"/>
              <w:bottom w:w="100" w:type="dxa"/>
              <w:end w:w="120" w:type="dxa"/>
            </w:tcMar>
            <w:vAlign w:val="center"/>
          </w:tcPr>
          <w:p>
            <w:pPr>
              <w:spacing w:after="0" w:line="252" w:lineRule="auto"/>
            </w:pPr>
            <w:r>
              <w:rPr>
                <w:rFonts w:ascii="Aptos" w:hAnsi="Aptos"/>
                <w:b w:val="0"/>
                <w:i w:val="0"/>
                <w:color w:val="102534"/>
                <w:sz w:val="18"/>
              </w:rPr>
              <w:t>Clean branch codex/capacity-backtest-foundation at 08d18e4</w:t>
            </w:r>
          </w:p>
        </w:tc>
      </w:tr>
      <w:tr>
        <w:tc>
          <w:tcPr>
            <w:tcW w:type="dxa" w:w="29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Unit and fixture tests</w:t>
            </w:r>
          </w:p>
        </w:tc>
        <w:tc>
          <w:tcPr>
            <w:tcW w:type="dxa" w:w="64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121 passed in 40.45 seconds</w:t>
            </w:r>
          </w:p>
        </w:tc>
      </w:tr>
      <w:tr>
        <w:tc>
          <w:tcPr>
            <w:tcW w:type="dxa" w:w="2900"/>
            <w:tcMar>
              <w:top w:w="100" w:type="dxa"/>
              <w:start w:w="120" w:type="dxa"/>
              <w:bottom w:w="100" w:type="dxa"/>
              <w:end w:w="120" w:type="dxa"/>
            </w:tcMar>
            <w:vAlign w:val="center"/>
          </w:tcPr>
          <w:p>
            <w:pPr>
              <w:spacing w:after="0" w:line="252" w:lineRule="auto"/>
            </w:pPr>
            <w:r>
              <w:rPr>
                <w:rFonts w:ascii="Aptos" w:hAnsi="Aptos"/>
                <w:b/>
                <w:i w:val="0"/>
                <w:color w:val="102534"/>
                <w:sz w:val="18"/>
              </w:rPr>
              <w:t>Ruff lint</w:t>
            </w:r>
          </w:p>
        </w:tc>
        <w:tc>
          <w:tcPr>
            <w:tcW w:type="dxa" w:w="6460"/>
            <w:tcMar>
              <w:top w:w="100" w:type="dxa"/>
              <w:start w:w="120" w:type="dxa"/>
              <w:bottom w:w="100" w:type="dxa"/>
              <w:end w:w="120" w:type="dxa"/>
            </w:tcMar>
            <w:vAlign w:val="center"/>
          </w:tcPr>
          <w:p>
            <w:pPr>
              <w:spacing w:after="0" w:line="252" w:lineRule="auto"/>
            </w:pPr>
            <w:r>
              <w:rPr>
                <w:rFonts w:ascii="Aptos" w:hAnsi="Aptos"/>
                <w:b w:val="0"/>
                <w:i w:val="0"/>
                <w:color w:val="102534"/>
                <w:sz w:val="18"/>
              </w:rPr>
              <w:t>Passed</w:t>
            </w:r>
          </w:p>
        </w:tc>
      </w:tr>
      <w:tr>
        <w:tc>
          <w:tcPr>
            <w:tcW w:type="dxa" w:w="29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Ruff format</w:t>
            </w:r>
          </w:p>
        </w:tc>
        <w:tc>
          <w:tcPr>
            <w:tcW w:type="dxa" w:w="64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22 pre-existing files would be reformatted</w:t>
            </w:r>
          </w:p>
        </w:tc>
      </w:tr>
      <w:tr>
        <w:tc>
          <w:tcPr>
            <w:tcW w:type="dxa" w:w="2900"/>
            <w:tcMar>
              <w:top w:w="100" w:type="dxa"/>
              <w:start w:w="120" w:type="dxa"/>
              <w:bottom w:w="100" w:type="dxa"/>
              <w:end w:w="120" w:type="dxa"/>
            </w:tcMar>
            <w:vAlign w:val="center"/>
          </w:tcPr>
          <w:p>
            <w:pPr>
              <w:spacing w:after="0" w:line="252" w:lineRule="auto"/>
            </w:pPr>
            <w:r>
              <w:rPr>
                <w:rFonts w:ascii="Aptos" w:hAnsi="Aptos"/>
                <w:b/>
                <w:i w:val="0"/>
                <w:color w:val="102534"/>
                <w:sz w:val="18"/>
              </w:rPr>
              <w:t>Type checking</w:t>
            </w:r>
          </w:p>
        </w:tc>
        <w:tc>
          <w:tcPr>
            <w:tcW w:type="dxa" w:w="6460"/>
            <w:tcMar>
              <w:top w:w="100" w:type="dxa"/>
              <w:start w:w="120" w:type="dxa"/>
              <w:bottom w:w="100" w:type="dxa"/>
              <w:end w:w="120" w:type="dxa"/>
            </w:tcMar>
            <w:vAlign w:val="center"/>
          </w:tcPr>
          <w:p>
            <w:pPr>
              <w:spacing w:after="0" w:line="252" w:lineRule="auto"/>
            </w:pPr>
            <w:r>
              <w:rPr>
                <w:rFonts w:ascii="Aptos" w:hAnsi="Aptos"/>
                <w:b w:val="0"/>
                <w:i w:val="0"/>
                <w:color w:val="102534"/>
                <w:sz w:val="18"/>
              </w:rPr>
              <w:t>No repository type-check command configured</w:t>
            </w:r>
          </w:p>
        </w:tc>
      </w:tr>
      <w:tr>
        <w:tc>
          <w:tcPr>
            <w:tcW w:type="dxa" w:w="29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Current synthetic selector</w:t>
            </w:r>
          </w:p>
        </w:tc>
        <w:tc>
          <w:tcPr>
            <w:tcW w:type="dxa" w:w="64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V4 contingency recall 100% in 64 exhaustive audits</w:t>
            </w:r>
          </w:p>
        </w:tc>
      </w:tr>
      <w:tr>
        <w:tc>
          <w:tcPr>
            <w:tcW w:type="dxa" w:w="2900"/>
            <w:tcMar>
              <w:top w:w="100" w:type="dxa"/>
              <w:start w:w="120" w:type="dxa"/>
              <w:bottom w:w="100" w:type="dxa"/>
              <w:end w:w="120" w:type="dxa"/>
            </w:tcMar>
            <w:vAlign w:val="center"/>
          </w:tcPr>
          <w:p>
            <w:pPr>
              <w:spacing w:after="0" w:line="252" w:lineRule="auto"/>
            </w:pPr>
            <w:r>
              <w:rPr>
                <w:rFonts w:ascii="Aptos" w:hAnsi="Aptos"/>
                <w:b/>
                <w:i w:val="0"/>
                <w:color w:val="102534"/>
                <w:sz w:val="18"/>
              </w:rPr>
              <w:t>Confirmed capacity</w:t>
            </w:r>
          </w:p>
        </w:tc>
        <w:tc>
          <w:tcPr>
            <w:tcW w:type="dxa" w:w="6460"/>
            <w:tcMar>
              <w:top w:w="100" w:type="dxa"/>
              <w:start w:w="120" w:type="dxa"/>
              <w:bottom w:w="100" w:type="dxa"/>
              <w:end w:w="120" w:type="dxa"/>
            </w:tcMar>
            <w:vAlign w:val="center"/>
          </w:tcPr>
          <w:p>
            <w:pPr>
              <w:spacing w:after="0" w:line="252" w:lineRule="auto"/>
            </w:pPr>
            <w:r>
              <w:rPr>
                <w:rFonts w:ascii="Aptos" w:hAnsi="Aptos"/>
                <w:b w:val="0"/>
                <w:i w:val="0"/>
                <w:color w:val="102534"/>
                <w:sz w:val="18"/>
              </w:rPr>
              <w:t>Unavailable; available_capacity_mw remains null</w:t>
            </w:r>
          </w:p>
        </w:tc>
      </w:tr>
    </w:tbl>
    <w:p>
      <w:pPr>
        <w:spacing w:after="40"/>
      </w:pPr>
    </w:p>
    <w:p>
      <w:pPr>
        <w:pStyle w:val="Heading1"/>
        <w:keepNext/>
        <w:pageBreakBefore/>
      </w:pPr>
      <w:r>
        <w:rPr>
          <w:rFonts w:ascii="Aptos" w:hAnsi="Aptos"/>
          <w:b/>
          <w:i w:val="0"/>
          <w:color w:val="071A2B"/>
          <w:sz w:val="42"/>
        </w:rPr>
        <w:t>14. Conclusion</w:t>
      </w:r>
    </w:p>
    <w:p>
      <w:pPr>
        <w:keepNext w:val="0"/>
        <w:spacing w:before="0" w:after="200" w:line="278" w:lineRule="auto"/>
        <w:jc w:val="left"/>
      </w:pPr>
      <w:r>
        <w:rPr>
          <w:rFonts w:ascii="Aptos" w:hAnsi="Aptos"/>
          <w:b w:val="0"/>
          <w:i w:val="0"/>
          <w:color w:val="102534"/>
          <w:sz w:val="22"/>
        </w:rPr>
        <w:t>GridPulse is developing a defensible grid-intelligence layer for large-load development. Its technical differentiation is not a single capacity algorithm. It is the combination of immutable provenance, publication-time reconstruction, fail-closed source admission, temporal backtesting, AC contingency analysis, bounded flexibility optimization and strict separation between public context, experimental risk, synthetic studies and operator-confirmed outcomes.</w:t>
      </w:r>
    </w:p>
    <w:p>
      <w:pPr>
        <w:keepNext w:val="0"/>
        <w:spacing w:before="0" w:after="240" w:line="278" w:lineRule="auto"/>
        <w:jc w:val="left"/>
      </w:pPr>
      <w:r>
        <w:rPr>
          <w:rFonts w:ascii="Aptos" w:hAnsi="Aptos"/>
          <w:b w:val="0"/>
          <w:i w:val="0"/>
          <w:color w:val="102534"/>
          <w:sz w:val="22"/>
        </w:rPr>
        <w:t>The platform is ready to support pre-application screening and structured flexibility discussions. It is not yet entitled to state free capacity at a specific location. The fastest credible path to that capability is a confidential pilot with a German DSO and the relevant TSO, using anonymized historical network states and connection outcomes.</w:t>
      </w:r>
    </w:p>
    <w:tbl>
      <w:tblPr>
        <w:tblW w:type="dxa" w:w="9360"/>
        <w:jc w:val="center"/>
        <w:tblLayout w:type="fixed"/>
        <w:tblLook w:firstColumn="1" w:firstRow="1" w:lastColumn="0" w:lastRow="0" w:noHBand="0" w:noVBand="1" w:val="04A0"/>
        <w:tblLayout w:type="fixed"/>
      </w:tblPr>
      <w:tblGrid>
        <w:gridCol w:w="9360"/>
      </w:tblGrid>
      <w:tr>
        <w:tc>
          <w:tcPr>
            <w:tcW w:type="dxa" w:w="9360"/>
            <w:tcMar>
              <w:top w:w="100" w:type="dxa"/>
              <w:start w:w="120" w:type="dxa"/>
              <w:bottom w:w="100" w:type="dxa"/>
              <w:end w:w="120" w:type="dxa"/>
            </w:tcMar>
            <w:vAlign w:val="center"/>
            <w:shd w:fill="EAF3F8"/>
          </w:tcPr>
          <w:p>
            <w:pPr>
              <w:spacing w:after="60"/>
            </w:pPr>
            <w:r>
              <w:rPr>
                <w:rFonts w:ascii="Aptos" w:hAnsi="Aptos"/>
                <w:b/>
                <w:i w:val="0"/>
                <w:color w:val="66D3B2"/>
                <w:sz w:val="16"/>
              </w:rPr>
              <w:t>INVESTOR TAKEAWAY</w:t>
            </w:r>
          </w:p>
          <w:p>
            <w:pPr>
              <w:spacing w:after="80"/>
            </w:pPr>
            <w:r>
              <w:rPr>
                <w:rFonts w:ascii="Aptos" w:hAnsi="Aptos"/>
                <w:b/>
                <w:i w:val="0"/>
                <w:color w:val="071A2B"/>
                <w:sz w:val="26"/>
              </w:rPr>
              <w:t>The next milestone is evidence access, not a change in scientific principle.</w:t>
            </w:r>
          </w:p>
          <w:p>
            <w:pPr>
              <w:spacing w:after="0" w:line="271" w:lineRule="auto"/>
            </w:pPr>
            <w:r>
              <w:rPr>
                <w:rFonts w:ascii="Aptos" w:hAnsi="Aptos"/>
                <w:b w:val="0"/>
                <w:i w:val="0"/>
                <w:color w:val="102534"/>
                <w:sz w:val="20"/>
              </w:rPr>
              <w:t>GridPulse has built and tested the research machinery. Capital and partnerships should now concentrate on continuous evidence operations, safe productization, and securing the first operator validation dataset.</w:t>
            </w:r>
          </w:p>
        </w:tc>
      </w:tr>
    </w:tbl>
    <w:p>
      <w:pPr>
        <w:spacing w:after="20"/>
      </w:pPr>
    </w:p>
    <w:p>
      <w:pPr>
        <w:pStyle w:val="Heading1"/>
        <w:keepNext/>
        <w:pageBreakBefore/>
      </w:pPr>
      <w:r>
        <w:rPr>
          <w:rFonts w:ascii="Aptos" w:hAnsi="Aptos"/>
          <w:b/>
          <w:i w:val="0"/>
          <w:color w:val="071A2B"/>
          <w:sz w:val="42"/>
        </w:rPr>
        <w:t>Appendix A. Modelling definitions</w:t>
      </w:r>
    </w:p>
    <w:tbl>
      <w:tblPr>
        <w:tblStyle w:val="TableGrid"/>
        <w:tblW w:type="dxa" w:w="9360"/>
        <w:jc w:val="center"/>
        <w:tblLayout w:type="fixed"/>
        <w:tblLook w:firstColumn="1" w:firstRow="1" w:lastColumn="0" w:lastRow="0" w:noHBand="0" w:noVBand="1" w:val="04A0"/>
        <w:tblLayout w:type="fixed"/>
      </w:tblPr>
      <w:tblGrid>
        <w:gridCol w:w="2300"/>
        <w:gridCol w:w="7060"/>
      </w:tblGrid>
      <w:tr>
        <w:trPr>
          <w:tblHeader w:val="true"/>
        </w:trPr>
        <w:tc>
          <w:tcPr>
            <w:tcW w:type="dxa" w:w="2300"/>
            <w:shd w:fill="0D2A42"/>
            <w:tcMar>
              <w:top w:w="100" w:type="dxa"/>
              <w:start w:w="120" w:type="dxa"/>
              <w:bottom w:w="100" w:type="dxa"/>
              <w:end w:w="120" w:type="dxa"/>
            </w:tcMar>
            <w:vAlign w:val="center"/>
          </w:tcPr>
          <w:p>
            <w:r>
              <w:rPr>
                <w:rFonts w:ascii="Aptos" w:hAnsi="Aptos"/>
                <w:b/>
                <w:i w:val="0"/>
                <w:color w:val="FFFFFF"/>
                <w:sz w:val="17"/>
              </w:rPr>
              <w:t>Term</w:t>
            </w:r>
          </w:p>
        </w:tc>
        <w:tc>
          <w:tcPr>
            <w:tcW w:type="dxa" w:w="7060"/>
            <w:shd w:fill="0D2A42"/>
            <w:tcMar>
              <w:top w:w="100" w:type="dxa"/>
              <w:start w:w="120" w:type="dxa"/>
              <w:bottom w:w="100" w:type="dxa"/>
              <w:end w:w="120" w:type="dxa"/>
            </w:tcMar>
            <w:vAlign w:val="center"/>
          </w:tcPr>
          <w:p>
            <w:r>
              <w:rPr>
                <w:rFonts w:ascii="Aptos" w:hAnsi="Aptos"/>
                <w:b/>
                <w:i w:val="0"/>
                <w:color w:val="FFFFFF"/>
                <w:sz w:val="17"/>
              </w:rPr>
              <w:t>Definition</w:t>
            </w:r>
          </w:p>
        </w:tc>
      </w:tr>
      <w:tr>
        <w:tc>
          <w:tcPr>
            <w:tcW w:type="dxa" w:w="2300"/>
            <w:tcMar>
              <w:top w:w="100" w:type="dxa"/>
              <w:start w:w="120" w:type="dxa"/>
              <w:bottom w:w="100" w:type="dxa"/>
              <w:end w:w="120" w:type="dxa"/>
            </w:tcMar>
            <w:vAlign w:val="center"/>
          </w:tcPr>
          <w:p>
            <w:pPr>
              <w:spacing w:after="0" w:line="252" w:lineRule="auto"/>
            </w:pPr>
            <w:r>
              <w:rPr>
                <w:rFonts w:ascii="Aptos" w:hAnsi="Aptos"/>
                <w:b/>
                <w:i w:val="0"/>
                <w:color w:val="102534"/>
                <w:sz w:val="18"/>
              </w:rPr>
              <w:t>N-0</w:t>
            </w:r>
          </w:p>
        </w:tc>
        <w:tc>
          <w:tcPr>
            <w:tcW w:type="dxa" w:w="7060"/>
            <w:tcMar>
              <w:top w:w="100" w:type="dxa"/>
              <w:start w:w="120" w:type="dxa"/>
              <w:bottom w:w="100" w:type="dxa"/>
              <w:end w:w="120" w:type="dxa"/>
            </w:tcMar>
            <w:vAlign w:val="center"/>
          </w:tcPr>
          <w:p>
            <w:pPr>
              <w:spacing w:after="0" w:line="252" w:lineRule="auto"/>
            </w:pPr>
            <w:r>
              <w:rPr>
                <w:rFonts w:ascii="Aptos" w:hAnsi="Aptos"/>
                <w:b w:val="0"/>
                <w:i w:val="0"/>
                <w:color w:val="102534"/>
                <w:sz w:val="18"/>
              </w:rPr>
              <w:t>Network operation with all modelled components in service.</w:t>
            </w:r>
          </w:p>
        </w:tc>
      </w:tr>
      <w:tr>
        <w:tc>
          <w:tcPr>
            <w:tcW w:type="dxa" w:w="23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N-1</w:t>
            </w:r>
          </w:p>
        </w:tc>
        <w:tc>
          <w:tcPr>
            <w:tcW w:type="dxa" w:w="70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Operation after loss of one relevant component, evaluated through contingency power flow.</w:t>
            </w:r>
          </w:p>
        </w:tc>
      </w:tr>
      <w:tr>
        <w:tc>
          <w:tcPr>
            <w:tcW w:type="dxa" w:w="2300"/>
            <w:tcMar>
              <w:top w:w="100" w:type="dxa"/>
              <w:start w:w="120" w:type="dxa"/>
              <w:bottom w:w="100" w:type="dxa"/>
              <w:end w:w="120" w:type="dxa"/>
            </w:tcMar>
            <w:vAlign w:val="center"/>
          </w:tcPr>
          <w:p>
            <w:pPr>
              <w:spacing w:after="0" w:line="252" w:lineRule="auto"/>
            </w:pPr>
            <w:r>
              <w:rPr>
                <w:rFonts w:ascii="Aptos" w:hAnsi="Aptos"/>
                <w:b/>
                <w:i w:val="0"/>
                <w:color w:val="102534"/>
                <w:sz w:val="18"/>
              </w:rPr>
              <w:t>Firm envelope</w:t>
            </w:r>
          </w:p>
        </w:tc>
        <w:tc>
          <w:tcPr>
            <w:tcW w:type="dxa" w:w="7060"/>
            <w:tcMar>
              <w:top w:w="100" w:type="dxa"/>
              <w:start w:w="120" w:type="dxa"/>
              <w:bottom w:w="100" w:type="dxa"/>
              <w:end w:w="120" w:type="dxa"/>
            </w:tcMar>
            <w:vAlign w:val="center"/>
          </w:tcPr>
          <w:p>
            <w:pPr>
              <w:spacing w:after="0" w:line="252" w:lineRule="auto"/>
            </w:pPr>
            <w:r>
              <w:rPr>
                <w:rFonts w:ascii="Aptos" w:hAnsi="Aptos"/>
                <w:b w:val="0"/>
                <w:i w:val="0"/>
                <w:color w:val="102534"/>
                <w:sz w:val="18"/>
              </w:rPr>
              <w:t>Import level intended to remain feasible under the defined security cases and assumptions.</w:t>
            </w:r>
          </w:p>
        </w:tc>
      </w:tr>
      <w:tr>
        <w:tc>
          <w:tcPr>
            <w:tcW w:type="dxa" w:w="23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Conditional envelope</w:t>
            </w:r>
          </w:p>
        </w:tc>
        <w:tc>
          <w:tcPr>
            <w:tcW w:type="dxa" w:w="70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Import permitted only under defined time, topology, curtailment or flexibility conditions.</w:t>
            </w:r>
          </w:p>
        </w:tc>
      </w:tr>
      <w:tr>
        <w:tc>
          <w:tcPr>
            <w:tcW w:type="dxa" w:w="2300"/>
            <w:tcMar>
              <w:top w:w="100" w:type="dxa"/>
              <w:start w:w="120" w:type="dxa"/>
              <w:bottom w:w="100" w:type="dxa"/>
              <w:end w:w="120" w:type="dxa"/>
            </w:tcMar>
            <w:vAlign w:val="center"/>
          </w:tcPr>
          <w:p>
            <w:pPr>
              <w:spacing w:after="0" w:line="252" w:lineRule="auto"/>
            </w:pPr>
            <w:r>
              <w:rPr>
                <w:rFonts w:ascii="Aptos" w:hAnsi="Aptos"/>
                <w:b/>
                <w:i w:val="0"/>
                <w:color w:val="102534"/>
                <w:sz w:val="18"/>
              </w:rPr>
              <w:t>PR-AUC</w:t>
            </w:r>
          </w:p>
        </w:tc>
        <w:tc>
          <w:tcPr>
            <w:tcW w:type="dxa" w:w="7060"/>
            <w:tcMar>
              <w:top w:w="100" w:type="dxa"/>
              <w:start w:w="120" w:type="dxa"/>
              <w:bottom w:w="100" w:type="dxa"/>
              <w:end w:w="120" w:type="dxa"/>
            </w:tcMar>
            <w:vAlign w:val="center"/>
          </w:tcPr>
          <w:p>
            <w:pPr>
              <w:spacing w:after="0" w:line="252" w:lineRule="auto"/>
            </w:pPr>
            <w:r>
              <w:rPr>
                <w:rFonts w:ascii="Aptos" w:hAnsi="Aptos"/>
                <w:b w:val="0"/>
                <w:i w:val="0"/>
                <w:color w:val="102534"/>
                <w:sz w:val="18"/>
              </w:rPr>
              <w:t>Area under the precision-recall curve; useful when constraint events are imbalanced.</w:t>
            </w:r>
          </w:p>
        </w:tc>
      </w:tr>
      <w:tr>
        <w:tc>
          <w:tcPr>
            <w:tcW w:type="dxa" w:w="23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Brier score</w:t>
            </w:r>
          </w:p>
        </w:tc>
        <w:tc>
          <w:tcPr>
            <w:tcW w:type="dxa" w:w="70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Mean squared error of probabilistic predictions; lower is better.</w:t>
            </w:r>
          </w:p>
        </w:tc>
      </w:tr>
      <w:tr>
        <w:tc>
          <w:tcPr>
            <w:tcW w:type="dxa" w:w="2300"/>
            <w:tcMar>
              <w:top w:w="100" w:type="dxa"/>
              <w:start w:w="120" w:type="dxa"/>
              <w:bottom w:w="100" w:type="dxa"/>
              <w:end w:w="120" w:type="dxa"/>
            </w:tcMar>
            <w:vAlign w:val="center"/>
          </w:tcPr>
          <w:p>
            <w:pPr>
              <w:spacing w:after="0" w:line="252" w:lineRule="auto"/>
            </w:pPr>
            <w:r>
              <w:rPr>
                <w:rFonts w:ascii="Aptos" w:hAnsi="Aptos"/>
                <w:b/>
                <w:i w:val="0"/>
                <w:color w:val="102534"/>
                <w:sz w:val="18"/>
              </w:rPr>
              <w:t>Calibration</w:t>
            </w:r>
          </w:p>
        </w:tc>
        <w:tc>
          <w:tcPr>
            <w:tcW w:type="dxa" w:w="7060"/>
            <w:tcMar>
              <w:top w:w="100" w:type="dxa"/>
              <w:start w:w="120" w:type="dxa"/>
              <w:bottom w:w="100" w:type="dxa"/>
              <w:end w:w="120" w:type="dxa"/>
            </w:tcMar>
            <w:vAlign w:val="center"/>
          </w:tcPr>
          <w:p>
            <w:pPr>
              <w:spacing w:after="0" w:line="252" w:lineRule="auto"/>
            </w:pPr>
            <w:r>
              <w:rPr>
                <w:rFonts w:ascii="Aptos" w:hAnsi="Aptos"/>
                <w:b w:val="0"/>
                <w:i w:val="0"/>
                <w:color w:val="102534"/>
                <w:sz w:val="18"/>
              </w:rPr>
              <w:t>Agreement between predicted probability and observed frequency.</w:t>
            </w:r>
          </w:p>
        </w:tc>
      </w:tr>
      <w:tr>
        <w:tc>
          <w:tcPr>
            <w:tcW w:type="dxa" w:w="2300"/>
            <w:shd w:fill="F4F7F9"/>
            <w:tcMar>
              <w:top w:w="100" w:type="dxa"/>
              <w:start w:w="120" w:type="dxa"/>
              <w:bottom w:w="100" w:type="dxa"/>
              <w:end w:w="120" w:type="dxa"/>
            </w:tcMar>
            <w:vAlign w:val="center"/>
          </w:tcPr>
          <w:p>
            <w:pPr>
              <w:spacing w:after="0" w:line="252" w:lineRule="auto"/>
            </w:pPr>
            <w:r>
              <w:rPr>
                <w:rFonts w:ascii="Aptos" w:hAnsi="Aptos"/>
                <w:b/>
                <w:i w:val="0"/>
                <w:color w:val="102534"/>
                <w:sz w:val="18"/>
              </w:rPr>
              <w:t>Truth class</w:t>
            </w:r>
          </w:p>
        </w:tc>
        <w:tc>
          <w:tcPr>
            <w:tcW w:type="dxa" w:w="7060"/>
            <w:shd w:fill="F4F7F9"/>
            <w:tcMar>
              <w:top w:w="100" w:type="dxa"/>
              <w:start w:w="120" w:type="dxa"/>
              <w:bottom w:w="100" w:type="dxa"/>
              <w:end w:w="120" w:type="dxa"/>
            </w:tcMar>
            <w:vAlign w:val="center"/>
          </w:tcPr>
          <w:p>
            <w:pPr>
              <w:spacing w:after="0" w:line="252" w:lineRule="auto"/>
            </w:pPr>
            <w:r>
              <w:rPr>
                <w:rFonts w:ascii="Aptos" w:hAnsi="Aptos"/>
                <w:b w:val="0"/>
                <w:i w:val="0"/>
                <w:color w:val="102534"/>
                <w:sz w:val="18"/>
              </w:rPr>
              <w:t>Evidence label controlling how a result may be interpreted or released.</w:t>
            </w:r>
          </w:p>
        </w:tc>
      </w:tr>
      <w:tr>
        <w:tc>
          <w:tcPr>
            <w:tcW w:type="dxa" w:w="2300"/>
            <w:tcMar>
              <w:top w:w="100" w:type="dxa"/>
              <w:start w:w="120" w:type="dxa"/>
              <w:bottom w:w="100" w:type="dxa"/>
              <w:end w:w="120" w:type="dxa"/>
            </w:tcMar>
            <w:vAlign w:val="center"/>
          </w:tcPr>
          <w:p>
            <w:pPr>
              <w:spacing w:after="0" w:line="252" w:lineRule="auto"/>
            </w:pPr>
            <w:r>
              <w:rPr>
                <w:rFonts w:ascii="Aptos" w:hAnsi="Aptos"/>
                <w:b/>
                <w:i w:val="0"/>
                <w:color w:val="102534"/>
                <w:sz w:val="18"/>
              </w:rPr>
              <w:t>Publication-time leakage</w:t>
            </w:r>
          </w:p>
        </w:tc>
        <w:tc>
          <w:tcPr>
            <w:tcW w:type="dxa" w:w="7060"/>
            <w:tcMar>
              <w:top w:w="100" w:type="dxa"/>
              <w:start w:w="120" w:type="dxa"/>
              <w:bottom w:w="100" w:type="dxa"/>
              <w:end w:w="120" w:type="dxa"/>
            </w:tcMar>
            <w:vAlign w:val="center"/>
          </w:tcPr>
          <w:p>
            <w:pPr>
              <w:spacing w:after="0" w:line="252" w:lineRule="auto"/>
            </w:pPr>
            <w:r>
              <w:rPr>
                <w:rFonts w:ascii="Aptos" w:hAnsi="Aptos"/>
                <w:b w:val="0"/>
                <w:i w:val="0"/>
                <w:color w:val="102534"/>
                <w:sz w:val="18"/>
              </w:rPr>
              <w:t>Use of information or revisions that were unavailable when a historical prediction would have been issued.</w:t>
            </w:r>
          </w:p>
        </w:tc>
      </w:tr>
    </w:tbl>
    <w:p>
      <w:pPr>
        <w:spacing w:after="40"/>
      </w:pPr>
    </w:p>
    <w:p>
      <w:pPr>
        <w:pStyle w:val="Heading1"/>
        <w:keepNext/>
        <w:pageBreakBefore/>
      </w:pPr>
      <w:r>
        <w:rPr>
          <w:rFonts w:ascii="Aptos" w:hAnsi="Aptos"/>
          <w:b/>
          <w:i w:val="0"/>
          <w:color w:val="071A2B"/>
          <w:sz w:val="42"/>
        </w:rPr>
        <w:t>Appendix B. White-paper design basis</w:t>
      </w:r>
    </w:p>
    <w:p>
      <w:pPr>
        <w:keepNext w:val="0"/>
        <w:spacing w:before="0" w:after="140" w:line="278" w:lineRule="auto"/>
        <w:jc w:val="left"/>
      </w:pPr>
      <w:r>
        <w:rPr>
          <w:rFonts w:ascii="Aptos" w:hAnsi="Aptos"/>
          <w:b w:val="0"/>
          <w:i w:val="0"/>
          <w:color w:val="102534"/>
          <w:sz w:val="21"/>
        </w:rPr>
        <w:t>The document structure follows authoritative technical-report principles rather than a commercial downloadable template. NIST technical-series guidance calls for ordered report components and reproducible technical reporting. European Commission evaluation criteria emphasize an executive summary, explicit context and limitations, clear linkage between data, interpretation and conclusions, and technical detail in appendices. This paper adapts those principles to an investor audience while retaining GridPulse's evidence boundaries.</w:t>
      </w:r>
    </w:p>
    <w:p>
      <w:pPr>
        <w:pStyle w:val="Heading1"/>
        <w:keepNext/>
        <w:pageBreakBefore/>
      </w:pPr>
      <w:r>
        <w:rPr>
          <w:rFonts w:ascii="Aptos" w:hAnsi="Aptos"/>
          <w:b/>
          <w:i w:val="0"/>
          <w:color w:val="071A2B"/>
          <w:sz w:val="42"/>
        </w:rPr>
        <w:t>References</w:t>
      </w:r>
    </w:p>
    <w:p>
      <w:pPr>
        <w:pStyle w:val="ListBullet"/>
        <w:spacing w:after="80" w:line="269" w:lineRule="auto"/>
      </w:pPr>
      <w:r>
        <w:rPr>
          <w:rFonts w:ascii="Aptos" w:hAnsi="Aptos"/>
          <w:b w:val="0"/>
          <w:i w:val="0"/>
          <w:color w:val="102534"/>
          <w:sz w:val="20"/>
        </w:rPr>
        <w:t>GridPulse Capacity Backtest Lab. Repository README, implementation reports and audited source code, commit 08d18e4, August 2026.</w:t>
      </w:r>
    </w:p>
    <w:p>
      <w:pPr>
        <w:pStyle w:val="ListBullet"/>
        <w:spacing w:after="80" w:line="269" w:lineRule="auto"/>
      </w:pPr>
      <w:r>
        <w:rPr>
          <w:rFonts w:ascii="Aptos" w:hAnsi="Aptos"/>
          <w:b w:val="0"/>
          <w:i w:val="0"/>
          <w:color w:val="102534"/>
          <w:sz w:val="20"/>
        </w:rPr>
        <w:t>NIST Research Library. Technical Series Publications Author Instructions, updated June 2024. https://www.nist.gov/nist-research-library/nist-technical-series-publications-author-instructions</w:t>
      </w:r>
    </w:p>
    <w:p>
      <w:pPr>
        <w:pStyle w:val="ListBullet"/>
        <w:spacing w:after="80" w:line="269" w:lineRule="auto"/>
      </w:pPr>
      <w:r>
        <w:rPr>
          <w:rFonts w:ascii="Aptos" w:hAnsi="Aptos"/>
          <w:b w:val="0"/>
          <w:i w:val="0"/>
          <w:color w:val="102534"/>
          <w:sz w:val="20"/>
        </w:rPr>
        <w:t>European Commission. Quality Assessment Form / criteria for final evaluation reports. https://transport.ec.europa.eu/document/download/86ff7486-711c-423e-8d88-0f5d915d5b37_en</w:t>
      </w:r>
    </w:p>
    <w:p>
      <w:pPr>
        <w:pStyle w:val="ListBullet"/>
        <w:spacing w:after="80" w:line="269" w:lineRule="auto"/>
      </w:pPr>
      <w:r>
        <w:rPr>
          <w:rFonts w:ascii="Aptos" w:hAnsi="Aptos"/>
          <w:b w:val="0"/>
          <w:i w:val="0"/>
          <w:color w:val="102534"/>
          <w:sz w:val="20"/>
        </w:rPr>
        <w:t>International Energy Agency. Energy and AI: AI and energy security. https://www.iea.org/reports/energy-and-ai/ai-and-energy-security</w:t>
      </w:r>
    </w:p>
    <w:p>
      <w:pPr>
        <w:pStyle w:val="ListBullet"/>
        <w:spacing w:after="80" w:line="269" w:lineRule="auto"/>
      </w:pPr>
      <w:r>
        <w:rPr>
          <w:rFonts w:ascii="Aptos" w:hAnsi="Aptos"/>
          <w:b w:val="0"/>
          <w:i w:val="0"/>
          <w:color w:val="102534"/>
          <w:sz w:val="20"/>
        </w:rPr>
        <w:t>International Energy Agency. Germany 2025 and Electricity 2026: grids and flexibility. https://www.iea.org/reports/germany-2025 and https://www.iea.org/reports/electricity-2026</w:t>
      </w:r>
    </w:p>
    <w:p>
      <w:pPr>
        <w:pStyle w:val="ListBullet"/>
        <w:spacing w:after="80" w:line="269" w:lineRule="auto"/>
      </w:pPr>
      <w:r>
        <w:rPr>
          <w:rFonts w:ascii="Aptos" w:hAnsi="Aptos"/>
          <w:b w:val="0"/>
          <w:i w:val="0"/>
          <w:color w:val="102534"/>
          <w:sz w:val="20"/>
        </w:rPr>
        <w:t>50Hertz Transmission GmbH. Engpassmanagement and measures under Section 13 EnWG. https://www.50hertz.com/de/Transparenz/Kennzahlen/Engpassmanagement</w:t>
      </w:r>
    </w:p>
    <w:p>
      <w:pPr>
        <w:pStyle w:val="ListBullet"/>
        <w:spacing w:after="80" w:line="269" w:lineRule="auto"/>
      </w:pPr>
      <w:r>
        <w:rPr>
          <w:rFonts w:ascii="Aptos" w:hAnsi="Aptos"/>
          <w:b w:val="0"/>
          <w:i w:val="0"/>
          <w:color w:val="102534"/>
          <w:sz w:val="20"/>
        </w:rPr>
        <w:t>SimBench project. Documentation and datasets. https://simbench.de/en/download/</w:t>
      </w:r>
    </w:p>
    <w:p>
      <w:pPr>
        <w:pStyle w:val="ListBullet"/>
        <w:spacing w:after="80" w:line="269" w:lineRule="auto"/>
      </w:pPr>
      <w:r>
        <w:rPr>
          <w:rFonts w:ascii="Aptos" w:hAnsi="Aptos"/>
          <w:b w:val="0"/>
          <w:i w:val="0"/>
          <w:color w:val="102534"/>
          <w:sz w:val="20"/>
        </w:rPr>
        <w:t>pandapower documentation. Contingency analysis. https://pandapower.readthedocs.io/en/v2.14.7/contingency.html</w:t>
      </w:r>
    </w:p>
    <w:p>
      <w:pPr>
        <w:pStyle w:val="ListBullet"/>
        <w:spacing w:after="80" w:line="269" w:lineRule="auto"/>
      </w:pPr>
      <w:r>
        <w:rPr>
          <w:rFonts w:ascii="Aptos" w:hAnsi="Aptos"/>
          <w:b w:val="0"/>
          <w:i w:val="0"/>
          <w:color w:val="102534"/>
          <w:sz w:val="20"/>
        </w:rPr>
        <w:t>ENTSO-E Transparency Platform. Web API and transparency publications. https://transparency.entsoe.eu/</w:t>
      </w:r>
    </w:p>
    <w:p>
      <w:pPr>
        <w:pStyle w:val="ListBullet"/>
        <w:spacing w:after="80" w:line="269" w:lineRule="auto"/>
      </w:pPr>
      <w:r>
        <w:rPr>
          <w:rFonts w:ascii="Aptos" w:hAnsi="Aptos"/>
          <w:b w:val="0"/>
          <w:i w:val="0"/>
          <w:color w:val="102534"/>
          <w:sz w:val="20"/>
        </w:rPr>
        <w:t>Deutscher Wetterdienst. Climate Data Center Open Data. https://opendata.dwd.de/climate_environment/CDC/</w:t>
      </w:r>
    </w:p>
    <w:sectPr w:rsidR="00FC693F" w:rsidRPr="0006063C" w:rsidSect="00034616">
      <w:headerReference w:type="default" r:id="rId9"/>
      <w:footerReference w:type="default" r:id="rId10"/>
      <w:pgSz w:w="12240" w:h="15840"/>
      <w:pgMar w:top="1123" w:right="1267" w:bottom="1037"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i w:val="0"/>
        <w:color w:val="5D7385"/>
        <w:sz w:val="15"/>
      </w:rPr>
      <w:t>CONFIDENTIAL DISCUSSION DRAFT  ·  AUGUST 2026</w:t>
    </w:r>
    <w:r>
      <w:rPr>
        <w:rFonts w:ascii="Aptos" w:hAnsi="Aptos"/>
        <w:b/>
        <w:i w:val="0"/>
        <w:color w:val="5D738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5D7385"/>
        <w:sz w:val="16"/>
      </w:rPr>
      <w:t>GRIDPULSE  /  INVESTOR TECHNICAL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025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b/>
      <w:bCs/>
      <w:color w:val="071A2B"/>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D2A42"/>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5D738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GridPulse - Evidence-governed grid intelligence for data-centre development</dc:title>
  <dc:subject>Investor technical white paper</dc:subject>
  <dc:creator>GridPulse</dc:creator>
  <cp:keywords/>
  <dc:description>Prepared from the audited GridPulse-Fullb research repository.</dc:description>
  <cp:lastModifiedBy/>
  <cp:revision>1</cp:revision>
  <dcterms:created xsi:type="dcterms:W3CDTF">2013-12-23T23:15:00Z</dcterms:created>
  <dcterms:modified xsi:type="dcterms:W3CDTF">2013-12-23T23:15:00Z</dcterms:modified>
  <cp:category/>
</cp:coreProperties>
</file>