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1241" w14:textId="4F1BB845" w:rsidR="00535FD3" w:rsidRDefault="00535FD3" w:rsidP="00535FD3">
      <w:pPr>
        <w:pStyle w:val="Title"/>
        <w:rPr>
          <w:lang w:val="tr-TR"/>
        </w:rPr>
      </w:pPr>
      <w:r>
        <w:rPr>
          <w:lang w:val="tr-TR"/>
        </w:rPr>
        <w:t>Empirical section:</w:t>
      </w:r>
    </w:p>
    <w:p w14:paraId="2FCA5C51" w14:textId="7B204A64" w:rsidR="00900C53" w:rsidRDefault="00B07309" w:rsidP="00B07309">
      <w:pPr>
        <w:pStyle w:val="Heading1"/>
        <w:rPr>
          <w:lang w:val="tr-TR"/>
        </w:rPr>
      </w:pPr>
      <w:r>
        <w:rPr>
          <w:lang w:val="tr-TR"/>
        </w:rPr>
        <w:t>Revised:</w:t>
      </w:r>
    </w:p>
    <w:p w14:paraId="20D2E461" w14:textId="55900F11" w:rsidR="00B07309" w:rsidRDefault="00B07309" w:rsidP="00B07309">
      <w:pPr>
        <w:rPr>
          <w:lang w:val="tr-TR"/>
        </w:rPr>
      </w:pPr>
    </w:p>
    <w:p w14:paraId="71C4ADF6" w14:textId="77777777" w:rsidR="00B07309" w:rsidRPr="00900C53" w:rsidRDefault="00B07309" w:rsidP="00B07309">
      <w:pPr>
        <w:pStyle w:val="Heading2"/>
        <w:rPr>
          <w:lang w:val="en-US"/>
        </w:rPr>
      </w:pPr>
      <w:r w:rsidRPr="00900C53">
        <w:rPr>
          <w:lang w:val="en-US"/>
        </w:rPr>
        <w:t>Supranational tweets and relevant benchmarks</w:t>
      </w:r>
    </w:p>
    <w:p w14:paraId="2152A2B7" w14:textId="6B77E59C" w:rsidR="00B07309" w:rsidRPr="006629F7" w:rsidRDefault="00B07309" w:rsidP="00B07309">
      <w:pPr>
        <w:pStyle w:val="FirstParagraph"/>
        <w:jc w:val="both"/>
        <w:rPr>
          <w:sz w:val="20"/>
          <w:szCs w:val="20"/>
          <w:lang w:val="tr-TR"/>
        </w:rPr>
      </w:pPr>
      <w:r w:rsidRPr="006629F7">
        <w:rPr>
          <w:sz w:val="20"/>
          <w:szCs w:val="20"/>
        </w:rPr>
        <w:t xml:space="preserve">We focus on Twitter to study the </w:t>
      </w:r>
      <w:proofErr w:type="spellStart"/>
      <w:r w:rsidRPr="006629F7">
        <w:rPr>
          <w:sz w:val="20"/>
          <w:szCs w:val="20"/>
        </w:rPr>
        <w:t>supranat</w:t>
      </w:r>
      <w:proofErr w:type="spellEnd"/>
      <w:r w:rsidRPr="006629F7">
        <w:rPr>
          <w:sz w:val="20"/>
          <w:szCs w:val="20"/>
          <w:lang w:val="tr-TR"/>
        </w:rPr>
        <w:t>ional public communication</w:t>
      </w:r>
      <w:r w:rsidR="009C2A92">
        <w:rPr>
          <w:sz w:val="20"/>
          <w:szCs w:val="20"/>
          <w:lang w:val="tr-TR"/>
        </w:rPr>
        <w:t xml:space="preserve"> on social media</w:t>
      </w:r>
      <w:r w:rsidRPr="006629F7">
        <w:rPr>
          <w:sz w:val="20"/>
          <w:szCs w:val="20"/>
          <w:lang w:val="tr-TR"/>
        </w:rPr>
        <w:t xml:space="preserve">. Our platform choice is motivated by three factors. First and foremost, Twitter has acquired a more significant place in the political communication environments compared to some of the other popular social media platforms such as Instagram and LinkedIn in the recent decade </w:t>
      </w:r>
      <w:r w:rsidRPr="006629F7">
        <w:rPr>
          <w:sz w:val="20"/>
          <w:szCs w:val="20"/>
          <w:lang w:val="en-GB"/>
        </w:rPr>
        <w:fldChar w:fldCharType="begin"/>
      </w:r>
      <w:r w:rsidR="000E7F85" w:rsidRPr="006629F7">
        <w:rPr>
          <w:sz w:val="20"/>
          <w:szCs w:val="20"/>
          <w:lang w:val="en-GB"/>
        </w:rPr>
        <w:instrText xml:space="preserve"> ADDIN ZOTERO_ITEM CSL_CITATION {"citationID":"zMOKuHpm","properties":{"formattedCitation":"(Jungherr, 2016; Segesten &amp; Bossetta, 2017; Stier et al., 2018)","plainCitation":"(Jungherr, 2016; Segesten &amp; Bossetta, 2017; Stier et al., 2018)","noteIndex":0},"citationItems":[{"id":4654,"uris":["http://zotero.org/groups/2912652/items/5XLBISNL"],"uri":["http://zotero.org/groups/2912652/items/5XLBISNL"],"itemData":{"id":4654,"type":"article-journal","abstract":"Twitter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4648,"uris":["http://zotero.org/groups/2912652/items/57LLFY3H"],"uri":["http://zotero.org/groups/2912652/items/57LLFY3H"],"itemData":{"id":4648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4657,"uris":["http://zotero.org/groups/2912652/items/RC85UEWM"],"uri":["http://zotero.org/groups/2912652/items/RC85UEWM"],"itemData":{"id":4657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Pr="006629F7">
        <w:rPr>
          <w:sz w:val="20"/>
          <w:szCs w:val="20"/>
          <w:lang w:val="en-GB"/>
        </w:rPr>
        <w:fldChar w:fldCharType="separate"/>
      </w:r>
      <w:r w:rsidR="000E7F85" w:rsidRPr="006629F7">
        <w:rPr>
          <w:rFonts w:ascii="Calibri" w:hAnsi="Calibri" w:cs="Calibri"/>
          <w:sz w:val="20"/>
          <w:szCs w:val="20"/>
          <w:lang w:val="pt-PT"/>
        </w:rPr>
        <w:t>(Jungherr, 2016; Segesten &amp; Bossetta, 2017; Stier et al., 2018)</w:t>
      </w:r>
      <w:r w:rsidRPr="006629F7">
        <w:rPr>
          <w:sz w:val="20"/>
          <w:szCs w:val="20"/>
          <w:lang w:val="tr-TR"/>
        </w:rPr>
        <w:fldChar w:fldCharType="end"/>
      </w:r>
      <w:r w:rsidRPr="006629F7">
        <w:rPr>
          <w:sz w:val="20"/>
          <w:szCs w:val="20"/>
          <w:lang w:val="tr-TR"/>
        </w:rPr>
        <w:t xml:space="preserve">. Moreover, Twitter is a unique social media platforms vis-a-vis public communication because it can serve as a “double-barrelled gun”. </w:t>
      </w:r>
      <w:r w:rsidR="009C2A92">
        <w:rPr>
          <w:sz w:val="20"/>
          <w:szCs w:val="20"/>
          <w:lang w:val="en-GB"/>
        </w:rPr>
        <w:t>R</w:t>
      </w:r>
      <w:r w:rsidRPr="006629F7">
        <w:rPr>
          <w:sz w:val="20"/>
          <w:szCs w:val="20"/>
          <w:lang w:val="en-GB"/>
        </w:rPr>
        <w:t xml:space="preserve">ecent research shows that journalists tend to pick up tweets from political actors (especially highly engaging tweets) and incorporate them in news articles </w:t>
      </w:r>
      <w:r w:rsidRPr="006629F7">
        <w:rPr>
          <w:sz w:val="20"/>
          <w:szCs w:val="20"/>
          <w:lang w:val="en-GB"/>
        </w:rPr>
        <w:fldChar w:fldCharType="begin"/>
      </w:r>
      <w:r w:rsidR="000E7F85" w:rsidRPr="006629F7">
        <w:rPr>
          <w:sz w:val="20"/>
          <w:szCs w:val="20"/>
          <w:lang w:val="en-GB"/>
        </w:rPr>
        <w:instrText xml:space="preserve"> ADDIN ZOTERO_ITEM CSL_CITATION {"citationID":"wYvslyu2","properties":{"formattedCitation":"(Cage et al., 2020; Oschatz 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Pr="006629F7">
        <w:rPr>
          <w:sz w:val="20"/>
          <w:szCs w:val="20"/>
          <w:lang w:val="en-GB"/>
        </w:rPr>
        <w:fldChar w:fldCharType="separate"/>
      </w:r>
      <w:r w:rsidR="000E7F85" w:rsidRPr="006629F7">
        <w:rPr>
          <w:rFonts w:ascii="Calibri" w:hAnsi="Calibri" w:cs="Calibri"/>
          <w:sz w:val="20"/>
          <w:szCs w:val="20"/>
          <w:lang w:val="pt-PT"/>
        </w:rPr>
        <w:t>(Cage et al., 2020; Oschatz et al., 2021)</w:t>
      </w:r>
      <w:r w:rsidRPr="006629F7">
        <w:rPr>
          <w:sz w:val="20"/>
          <w:szCs w:val="20"/>
          <w:lang w:val="tr-TR"/>
        </w:rPr>
        <w:fldChar w:fldCharType="end"/>
      </w:r>
      <w:r w:rsidRPr="006629F7">
        <w:rPr>
          <w:sz w:val="20"/>
          <w:szCs w:val="20"/>
        </w:rPr>
        <w:t>, boosting their communication potential further.</w:t>
      </w:r>
      <w:r w:rsidRPr="006629F7">
        <w:rPr>
          <w:sz w:val="20"/>
          <w:szCs w:val="20"/>
          <w:lang w:val="tr-TR"/>
        </w:rPr>
        <w:t xml:space="preserve"> Lastly, Twitter as a platform offers a more transparent access to the historical data. Unlike other politically popular platforms such as Facebook, we can access to the full population of historical tweet without any </w:t>
      </w:r>
      <w:r w:rsidR="00874320" w:rsidRPr="006629F7">
        <w:rPr>
          <w:sz w:val="20"/>
          <w:szCs w:val="20"/>
          <w:lang w:val="tr-TR"/>
        </w:rPr>
        <w:t>curration</w:t>
      </w:r>
      <w:r w:rsidRPr="006629F7">
        <w:rPr>
          <w:sz w:val="20"/>
          <w:szCs w:val="20"/>
          <w:lang w:val="tr-TR"/>
        </w:rPr>
        <w:t xml:space="preserve"> on the dataset</w:t>
      </w:r>
      <w:r w:rsidR="00874320" w:rsidRPr="006629F7">
        <w:rPr>
          <w:sz w:val="20"/>
          <w:szCs w:val="20"/>
          <w:lang w:val="tr-TR"/>
        </w:rPr>
        <w:t xml:space="preserve"> by the platform</w:t>
      </w:r>
      <w:r w:rsidRPr="006629F7">
        <w:rPr>
          <w:sz w:val="20"/>
          <w:szCs w:val="20"/>
          <w:lang w:val="tr-TR"/>
        </w:rPr>
        <w:t xml:space="preserve"> as we use academic track API 2.0 to collect our data. This allows us to provide a less biased, if not completely unbiased, picture of the EU executives’ public communication.</w:t>
      </w:r>
    </w:p>
    <w:p w14:paraId="6DE58C7F" w14:textId="77777777" w:rsidR="006A3EA1" w:rsidRDefault="00EE1FCD" w:rsidP="004F5C56">
      <w:pPr>
        <w:pStyle w:val="BodyText"/>
        <w:jc w:val="both"/>
        <w:rPr>
          <w:sz w:val="20"/>
          <w:szCs w:val="20"/>
          <w:lang w:val="en-GB"/>
        </w:rPr>
      </w:pPr>
      <w:r w:rsidRPr="006629F7">
        <w:rPr>
          <w:sz w:val="20"/>
          <w:szCs w:val="20"/>
          <w:lang w:val="en-GB"/>
        </w:rPr>
        <w:t xml:space="preserve">Identifying the population of relevant supranational Twitter accounts followed </w:t>
      </w:r>
      <w:r w:rsidR="00724D42">
        <w:rPr>
          <w:sz w:val="20"/>
          <w:szCs w:val="20"/>
          <w:lang w:val="en-GB"/>
        </w:rPr>
        <w:t>recent evidence in the literature</w:t>
      </w:r>
      <w:r w:rsidRPr="006629F7">
        <w:rPr>
          <w:sz w:val="20"/>
          <w:szCs w:val="20"/>
          <w:lang w:val="en-GB"/>
        </w:rPr>
        <w:t xml:space="preserve">. </w:t>
      </w:r>
      <w:r w:rsidR="00523F65" w:rsidRPr="006629F7">
        <w:rPr>
          <w:sz w:val="20"/>
          <w:szCs w:val="20"/>
          <w:lang w:val="en-GB"/>
        </w:rPr>
        <w:t xml:space="preserve">Institutions such as the European Commission or the European Central Bank (ECB) are often core addressees of public politicization and are equated with EU legitimacy more broadly in the minds of citizens </w:t>
      </w:r>
      <w:r w:rsidR="00523F65" w:rsidRPr="006629F7">
        <w:rPr>
          <w:sz w:val="20"/>
          <w:szCs w:val="20"/>
          <w:lang w:val="en-GB"/>
        </w:rPr>
        <w:fldChar w:fldCharType="begin"/>
      </w:r>
      <w:r w:rsidR="00523F65" w:rsidRPr="006629F7">
        <w:rPr>
          <w:sz w:val="20"/>
          <w:szCs w:val="20"/>
          <w:lang w:val="en-GB"/>
        </w:rPr>
        <w:instrText xml:space="preserve"> ADDIN ZOTERO_ITEM CSL_CITATION {"citationID":"hHbRLtIm","properties":{"formattedCitation":"(Silva 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523F65" w:rsidRPr="006629F7">
        <w:rPr>
          <w:sz w:val="20"/>
          <w:szCs w:val="20"/>
          <w:lang w:val="en-GB"/>
        </w:rPr>
        <w:fldChar w:fldCharType="separate"/>
      </w:r>
      <w:r w:rsidR="00523F65" w:rsidRPr="006629F7">
        <w:rPr>
          <w:rFonts w:ascii="Calibri" w:hAnsi="Calibri" w:cs="Calibri"/>
          <w:sz w:val="20"/>
          <w:szCs w:val="20"/>
          <w:lang w:val="en-GB"/>
        </w:rPr>
        <w:t>(Silva et al., 2021)</w:t>
      </w:r>
      <w:r w:rsidR="00523F65" w:rsidRPr="006629F7">
        <w:rPr>
          <w:sz w:val="20"/>
          <w:szCs w:val="20"/>
        </w:rPr>
        <w:fldChar w:fldCharType="end"/>
      </w:r>
      <w:r w:rsidR="00523F65" w:rsidRPr="006629F7">
        <w:rPr>
          <w:sz w:val="20"/>
          <w:szCs w:val="20"/>
          <w:lang w:val="en-GB"/>
        </w:rPr>
        <w:t xml:space="preserve">. </w:t>
      </w:r>
      <w:r w:rsidR="004F5C56" w:rsidRPr="006629F7">
        <w:rPr>
          <w:sz w:val="20"/>
          <w:szCs w:val="20"/>
          <w:lang w:val="en-GB"/>
        </w:rPr>
        <w:t xml:space="preserve">Accordingly, we identified the main Twitter accounts of the institutions falling under these definitions (e.g., @EU_Commission), their individual sub-branches (e.g., @EUHomeAffairs) and dedicated EU agencies (e.g., @Frontex), as well as the personal accounts of the individuals heading these institutions such as Presidents (e.g., </w:t>
      </w:r>
      <w:r w:rsidR="004F5C56" w:rsidRPr="006629F7">
        <w:rPr>
          <w:iCs/>
          <w:sz w:val="20"/>
          <w:szCs w:val="20"/>
          <w:lang w:val="en-GB"/>
        </w:rPr>
        <w:t>@vonderleyen</w:t>
      </w:r>
      <w:r w:rsidR="004F5C56" w:rsidRPr="006629F7">
        <w:rPr>
          <w:sz w:val="20"/>
          <w:szCs w:val="20"/>
          <w:lang w:val="en-GB"/>
        </w:rPr>
        <w:t>), Commissioners (e.g., @TimmermansEU), or Director-Generals (e.g., @lemaitre_eu) using the official webpage</w:t>
      </w:r>
      <w:r w:rsidR="0068199D" w:rsidRPr="006629F7">
        <w:rPr>
          <w:sz w:val="20"/>
          <w:szCs w:val="20"/>
          <w:lang w:val="en-GB"/>
        </w:rPr>
        <w:t>s</w:t>
      </w:r>
      <w:r w:rsidR="004F5C56" w:rsidRPr="006629F7">
        <w:rPr>
          <w:sz w:val="20"/>
          <w:szCs w:val="20"/>
          <w:lang w:val="en-GB"/>
        </w:rPr>
        <w:t xml:space="preserve"> of the EU. </w:t>
      </w:r>
      <w:r w:rsidR="00B90A96" w:rsidRPr="006629F7">
        <w:rPr>
          <w:sz w:val="20"/>
          <w:szCs w:val="20"/>
          <w:lang w:val="en-GB"/>
        </w:rPr>
        <w:t xml:space="preserve"> </w:t>
      </w:r>
    </w:p>
    <w:p w14:paraId="4AEFAB25" w14:textId="2D772908" w:rsidR="00DD05F2" w:rsidRPr="006629F7" w:rsidRDefault="00B90A96" w:rsidP="004F5C56">
      <w:pPr>
        <w:pStyle w:val="BodyText"/>
        <w:jc w:val="both"/>
        <w:rPr>
          <w:sz w:val="20"/>
          <w:szCs w:val="20"/>
          <w:lang w:val="en-GB"/>
        </w:rPr>
      </w:pPr>
      <w:r w:rsidRPr="006629F7">
        <w:rPr>
          <w:sz w:val="20"/>
          <w:szCs w:val="20"/>
          <w:lang w:val="en-GB"/>
        </w:rPr>
        <w:t>We combine personal accounts with institutional accounts for two reasons.</w:t>
      </w:r>
      <w:r w:rsidR="00D60BD5" w:rsidRPr="006629F7">
        <w:rPr>
          <w:sz w:val="20"/>
          <w:szCs w:val="20"/>
          <w:lang w:val="en-GB"/>
        </w:rPr>
        <w:t xml:space="preserve"> Firstly, </w:t>
      </w:r>
      <w:r w:rsidR="00144C09" w:rsidRPr="006629F7">
        <w:rPr>
          <w:sz w:val="20"/>
          <w:szCs w:val="20"/>
          <w:lang w:val="en-GB"/>
        </w:rPr>
        <w:t xml:space="preserve">events and policies related to particular authorities such as scandals and unfavourable policies sponsored by office holders </w:t>
      </w:r>
      <w:r w:rsidR="001E2596" w:rsidRPr="006629F7">
        <w:rPr>
          <w:sz w:val="20"/>
          <w:szCs w:val="20"/>
          <w:lang w:val="en-GB"/>
        </w:rPr>
        <w:t>may come back a</w:t>
      </w:r>
      <w:r w:rsidR="00572A6C" w:rsidRPr="006629F7">
        <w:rPr>
          <w:sz w:val="20"/>
          <w:szCs w:val="20"/>
          <w:lang w:val="en-GB"/>
        </w:rPr>
        <w:t>s criticisms of the EU as a polity since there are limited</w:t>
      </w:r>
      <w:r w:rsidR="004F1EB9">
        <w:rPr>
          <w:sz w:val="20"/>
          <w:szCs w:val="20"/>
          <w:lang w:val="en-GB"/>
        </w:rPr>
        <w:t xml:space="preserve"> direct accountability</w:t>
      </w:r>
      <w:r w:rsidR="00572A6C" w:rsidRPr="006629F7">
        <w:rPr>
          <w:sz w:val="20"/>
          <w:szCs w:val="20"/>
          <w:lang w:val="en-GB"/>
        </w:rPr>
        <w:t xml:space="preserve"> mechanisms</w:t>
      </w:r>
      <w:r w:rsidR="004F1EB9">
        <w:rPr>
          <w:sz w:val="20"/>
          <w:szCs w:val="20"/>
          <w:lang w:val="en-GB"/>
        </w:rPr>
        <w:t>, such as popular elections, for executives</w:t>
      </w:r>
      <w:r w:rsidR="00572A6C" w:rsidRPr="006629F7">
        <w:rPr>
          <w:sz w:val="20"/>
          <w:szCs w:val="20"/>
          <w:lang w:val="en-GB"/>
        </w:rPr>
        <w:t xml:space="preserve"> in the EU </w:t>
      </w:r>
      <w:r w:rsidR="00C0418F" w:rsidRPr="006629F7">
        <w:rPr>
          <w:sz w:val="20"/>
          <w:szCs w:val="20"/>
          <w:lang w:val="en-GB"/>
        </w:rPr>
        <w:fldChar w:fldCharType="begin"/>
      </w:r>
      <w:r w:rsidR="00C505CF" w:rsidRPr="006629F7">
        <w:rPr>
          <w:sz w:val="20"/>
          <w:szCs w:val="20"/>
          <w:lang w:val="en-GB"/>
        </w:rPr>
        <w:instrText xml:space="preserve"> ADDIN ZOTERO_ITEM CSL_CITATION {"citationID":"WzN6yWjx","properties":{"formattedCitation":"(Chatzopoulou, 2015; Hobolt, 2014; Trenz, 2008; Wilde &amp; Trenz, 2012)","plainCitation":"(Chatzopoulou, 2015; Hobolt, 2014; Trenz, 2008; Wilde &amp; Trenz, 2012)","noteIndex":0},"citationItems":[{"id":206,"uris":["http://zotero.org/users/5392384/items/443FXBDK"],"uri":["http://zotero.org/users/5392384/items/443FXBDK"],"itemData":{"id":206,"type":"article-journal","abstract":"The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r w:rsidR="00C0418F" w:rsidRPr="006629F7">
        <w:rPr>
          <w:sz w:val="20"/>
          <w:szCs w:val="20"/>
          <w:lang w:val="en-GB"/>
        </w:rPr>
        <w:fldChar w:fldCharType="separate"/>
      </w:r>
      <w:r w:rsidR="00C505CF" w:rsidRPr="006629F7">
        <w:rPr>
          <w:rFonts w:ascii="Calibri" w:hAnsi="Calibri" w:cs="Calibri"/>
          <w:sz w:val="20"/>
          <w:szCs w:val="20"/>
        </w:rPr>
        <w:t>(Chatzopoulou, 2015; Hobolt, 2014; Trenz, 2008; Wilde &amp; Trenz, 2012)</w:t>
      </w:r>
      <w:r w:rsidR="00C0418F" w:rsidRPr="006629F7">
        <w:rPr>
          <w:sz w:val="20"/>
          <w:szCs w:val="20"/>
          <w:lang w:val="en-GB"/>
        </w:rPr>
        <w:fldChar w:fldCharType="end"/>
      </w:r>
      <w:r w:rsidR="00F04352" w:rsidRPr="006629F7">
        <w:rPr>
          <w:sz w:val="20"/>
          <w:szCs w:val="20"/>
          <w:lang w:val="en-GB"/>
        </w:rPr>
        <w:t>.</w:t>
      </w:r>
      <w:r w:rsidR="00144C09" w:rsidRPr="006629F7">
        <w:rPr>
          <w:sz w:val="20"/>
          <w:szCs w:val="20"/>
          <w:lang w:val="en-GB"/>
        </w:rPr>
        <w:t xml:space="preserve"> </w:t>
      </w:r>
      <w:commentRangeStart w:id="0"/>
      <w:r w:rsidR="00C505CF" w:rsidRPr="006629F7">
        <w:rPr>
          <w:sz w:val="20"/>
          <w:szCs w:val="20"/>
          <w:lang w:val="en-GB"/>
        </w:rPr>
        <w:t>Secondly,</w:t>
      </w:r>
      <w:r w:rsidR="002214C2" w:rsidRPr="006629F7">
        <w:rPr>
          <w:sz w:val="20"/>
          <w:szCs w:val="20"/>
          <w:lang w:val="en-GB"/>
        </w:rPr>
        <w:t xml:space="preserve"> the</w:t>
      </w:r>
      <w:r w:rsidR="00E9444E" w:rsidRPr="006629F7">
        <w:rPr>
          <w:sz w:val="20"/>
          <w:szCs w:val="20"/>
          <w:lang w:val="en-GB"/>
        </w:rPr>
        <w:t>re seems to be a</w:t>
      </w:r>
      <w:r w:rsidR="002214C2" w:rsidRPr="006629F7">
        <w:rPr>
          <w:sz w:val="20"/>
          <w:szCs w:val="20"/>
          <w:lang w:val="en-GB"/>
        </w:rPr>
        <w:t xml:space="preserve"> growing tendency of </w:t>
      </w:r>
      <w:proofErr w:type="spellStart"/>
      <w:r w:rsidR="002214C2" w:rsidRPr="006629F7">
        <w:rPr>
          <w:sz w:val="20"/>
          <w:szCs w:val="20"/>
          <w:lang w:val="en-GB"/>
        </w:rPr>
        <w:t>presidentialization</w:t>
      </w:r>
      <w:proofErr w:type="spellEnd"/>
      <w:r w:rsidR="002214C2" w:rsidRPr="006629F7">
        <w:rPr>
          <w:sz w:val="20"/>
          <w:szCs w:val="20"/>
          <w:lang w:val="en-GB"/>
        </w:rPr>
        <w:t xml:space="preserve"> and agenda setting of individual political authorities</w:t>
      </w:r>
      <w:r w:rsidR="00E9444E" w:rsidRPr="006629F7">
        <w:rPr>
          <w:sz w:val="20"/>
          <w:szCs w:val="20"/>
          <w:lang w:val="en-GB"/>
        </w:rPr>
        <w:t xml:space="preserve"> in the EU executive institutions</w:t>
      </w:r>
      <w:r w:rsidR="00E9444E" w:rsidRPr="006629F7">
        <w:rPr>
          <w:sz w:val="20"/>
          <w:szCs w:val="20"/>
          <w:lang w:val="en-GB"/>
        </w:rPr>
        <w:fldChar w:fldCharType="begin"/>
      </w:r>
      <w:r w:rsidR="00C35885" w:rsidRPr="006629F7">
        <w:rPr>
          <w:sz w:val="20"/>
          <w:szCs w:val="20"/>
          <w:lang w:val="en-GB"/>
        </w:rPr>
        <w:instrText xml:space="preserve"> ADDIN ZOTERO_ITEM CSL_CITATION {"citationID":"woHT1xBa","properties":{"formattedCitation":"(Ham\\uc0\\u345{}\\uc0\\u237{}k, 2021; Haverland et al., 2018; Kassim et al., 2017)","plainCitation":"(Hamřík, 2021; Haverland et al., 2018; Kassim et al., 2017)","noteIndex":0},"citationItems":[{"id":4874,"uris":["http://zotero.org/groups/2912652/items/FAPUCRS2"],"uri":["http://zotero.org/groups/2912652/items/FAPUCRS2"],"itemData":{"id":4874,"type":"article-journal","abstract":"The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4924,"uris":["http://zotero.org/groups/2912652/items/ASJNJRT4"],"uri":["http://zotero.org/groups/2912652/items/ASJNJRT4"],"itemData":{"id":4924,"type":"article-journal","abstract":"Historically, the European Commission has followed an expert-based depoliticized route to gain attention for policy issues and the credibility to deal with them. Given growing politicization, we ask whether the Commission might increasingly seek citizens’ views and whether there is patterned variation. We provide the first mapping of special Eurobarometers, the massive instrument for issue-specific public opinion. We found a steep increase and a curvilinear pattern: public opinion is rarely invited in areas of exclusive European Union competencies and exclusive national competencies. Most special Eurobarometers focus on shared competencies. Citizens are almost never asked about expenditure programmes and never on immigration. There is large variation across the Directorates General, which is only weakly related to the amount of planned legislation and the number of expert committees. Business-oriented Directorates General are much less likely to seek public opinion. These results open up promising avenues for research on agenda-setting strategies at times of politicization.","container-title":"Journal of European Public Policy","DOI":"10.1080/13501763.2016.1249014","ISSN":"1350-1763","issue":"3","note":"publisher: Routledge\n_eprint: https://doi.org/10.1080/13501763.2016.1249014","page":"327-345","source":"Taylor and Francis+NEJM","title":"Agenda-setting by the European Commission. Seeking public opinion?","volume":"25","author":[{"family":"Haverland","given":"Markus"},{"family":"Ruiter","given":"Minou","non-dropping-particle":"de"},{"family":"Van de Walle","given":"Steven"}],"issued":{"date-parts":[["2018",3,4]]}}},{"id":4921,"uris":["http://zotero.org/groups/2912652/items/8F6PHE95"],"uri":["http://zotero.org/groups/2912652/items/8F6PHE95"],"itemData":{"id":4921,"type":"article-journal","abstract":"Although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r w:rsidR="00E9444E" w:rsidRPr="006629F7">
        <w:rPr>
          <w:sz w:val="20"/>
          <w:szCs w:val="20"/>
          <w:lang w:val="en-GB"/>
        </w:rPr>
        <w:fldChar w:fldCharType="separate"/>
      </w:r>
      <w:r w:rsidR="00C35885" w:rsidRPr="006629F7">
        <w:rPr>
          <w:rFonts w:ascii="Calibri" w:hAnsi="Calibri" w:cs="Calibri"/>
          <w:sz w:val="20"/>
          <w:szCs w:val="20"/>
        </w:rPr>
        <w:t>(Hamřík, 2021; Haverland et al., 2018; Kassim et al., 2017)</w:t>
      </w:r>
      <w:r w:rsidR="00E9444E" w:rsidRPr="006629F7">
        <w:rPr>
          <w:sz w:val="20"/>
          <w:szCs w:val="20"/>
          <w:lang w:val="en-GB"/>
        </w:rPr>
        <w:fldChar w:fldCharType="end"/>
      </w:r>
      <w:r w:rsidR="00C35885" w:rsidRPr="006629F7">
        <w:rPr>
          <w:sz w:val="20"/>
          <w:szCs w:val="20"/>
          <w:lang w:val="en-GB"/>
        </w:rPr>
        <w:t xml:space="preserve"> which consequently </w:t>
      </w:r>
      <w:r w:rsidR="00244EFC" w:rsidRPr="006629F7">
        <w:rPr>
          <w:sz w:val="20"/>
          <w:szCs w:val="20"/>
          <w:lang w:val="en-GB"/>
        </w:rPr>
        <w:t>pushes these authorities to seek more public consensus for their decisions</w:t>
      </w:r>
      <w:r w:rsidR="00E9444E" w:rsidRPr="006629F7">
        <w:rPr>
          <w:sz w:val="20"/>
          <w:szCs w:val="20"/>
          <w:lang w:val="en-GB"/>
        </w:rPr>
        <w:t xml:space="preserve">. </w:t>
      </w:r>
      <w:proofErr w:type="gramStart"/>
      <w:r w:rsidR="00244EFC" w:rsidRPr="006629F7">
        <w:rPr>
          <w:sz w:val="20"/>
          <w:szCs w:val="20"/>
          <w:lang w:val="en-GB"/>
        </w:rPr>
        <w:t>Considering these two factors, there</w:t>
      </w:r>
      <w:proofErr w:type="gramEnd"/>
      <w:r w:rsidR="00244EFC" w:rsidRPr="006629F7">
        <w:rPr>
          <w:sz w:val="20"/>
          <w:szCs w:val="20"/>
          <w:lang w:val="en-GB"/>
        </w:rPr>
        <w:t xml:space="preserve"> is grounds to assume that verified accounts of individual</w:t>
      </w:r>
      <w:r w:rsidR="00256D4C" w:rsidRPr="006629F7">
        <w:rPr>
          <w:sz w:val="20"/>
          <w:szCs w:val="20"/>
          <w:lang w:val="en-GB"/>
        </w:rPr>
        <w:t xml:space="preserve"> executives</w:t>
      </w:r>
      <w:r w:rsidR="00244EFC" w:rsidRPr="006629F7">
        <w:rPr>
          <w:sz w:val="20"/>
          <w:szCs w:val="20"/>
          <w:lang w:val="en-GB"/>
        </w:rPr>
        <w:t xml:space="preserve"> have as much interest</w:t>
      </w:r>
      <w:r w:rsidR="006629F7" w:rsidRPr="006629F7">
        <w:rPr>
          <w:sz w:val="20"/>
          <w:szCs w:val="20"/>
          <w:lang w:val="en-GB"/>
        </w:rPr>
        <w:t xml:space="preserve"> to engage in public communication on social media</w:t>
      </w:r>
      <w:r w:rsidR="00244EFC" w:rsidRPr="006629F7">
        <w:rPr>
          <w:sz w:val="20"/>
          <w:szCs w:val="20"/>
          <w:lang w:val="en-GB"/>
        </w:rPr>
        <w:t xml:space="preserve"> as </w:t>
      </w:r>
      <w:r w:rsidR="00256D4C" w:rsidRPr="006629F7">
        <w:rPr>
          <w:sz w:val="20"/>
          <w:szCs w:val="20"/>
          <w:lang w:val="en-GB"/>
        </w:rPr>
        <w:t>any other institutional account.</w:t>
      </w:r>
      <w:commentRangeEnd w:id="0"/>
      <w:r w:rsidR="00256D4C" w:rsidRPr="006629F7">
        <w:rPr>
          <w:rStyle w:val="CommentReference"/>
          <w:sz w:val="20"/>
          <w:szCs w:val="20"/>
        </w:rPr>
        <w:commentReference w:id="0"/>
      </w:r>
    </w:p>
    <w:p w14:paraId="3C24C3D3" w14:textId="22461490" w:rsidR="004F5C56" w:rsidRPr="006629F7" w:rsidRDefault="004F5C56" w:rsidP="004F5C56">
      <w:pPr>
        <w:pStyle w:val="BodyText"/>
        <w:jc w:val="both"/>
        <w:rPr>
          <w:sz w:val="20"/>
          <w:szCs w:val="20"/>
          <w:lang w:val="en-GB"/>
        </w:rPr>
      </w:pPr>
      <w:r w:rsidRPr="006629F7">
        <w:rPr>
          <w:sz w:val="20"/>
          <w:szCs w:val="20"/>
          <w:lang w:val="en-GB"/>
        </w:rPr>
        <w:t xml:space="preserve">This resulted in </w:t>
      </w:r>
      <w:r w:rsidRPr="006629F7">
        <w:rPr>
          <w:i/>
          <w:sz w:val="20"/>
          <w:szCs w:val="20"/>
          <w:lang w:val="en-GB"/>
        </w:rPr>
        <w:t>11</w:t>
      </w:r>
      <w:r w:rsidR="000767AD" w:rsidRPr="006629F7">
        <w:rPr>
          <w:i/>
          <w:sz w:val="20"/>
          <w:szCs w:val="20"/>
          <w:lang w:val="en-GB"/>
        </w:rPr>
        <w:t>3</w:t>
      </w:r>
      <w:r w:rsidRPr="006629F7">
        <w:rPr>
          <w:i/>
          <w:sz w:val="20"/>
          <w:szCs w:val="20"/>
          <w:lang w:val="en-GB"/>
        </w:rPr>
        <w:t xml:space="preserve"> </w:t>
      </w:r>
      <w:r w:rsidRPr="006629F7">
        <w:rPr>
          <w:sz w:val="20"/>
          <w:szCs w:val="20"/>
          <w:lang w:val="en-GB"/>
        </w:rPr>
        <w:t>supranational Twitter accounts</w:t>
      </w:r>
      <w:r w:rsidR="00C3752F" w:rsidRPr="006629F7">
        <w:rPr>
          <w:sz w:val="20"/>
          <w:szCs w:val="20"/>
          <w:lang w:val="en-GB"/>
        </w:rPr>
        <w:t xml:space="preserve"> that are verified and</w:t>
      </w:r>
      <w:r w:rsidRPr="006629F7">
        <w:rPr>
          <w:sz w:val="20"/>
          <w:szCs w:val="20"/>
          <w:lang w:val="en-GB"/>
        </w:rPr>
        <w:t xml:space="preserve"> active </w:t>
      </w:r>
      <w:r w:rsidR="00C3752F" w:rsidRPr="006629F7">
        <w:rPr>
          <w:sz w:val="20"/>
          <w:szCs w:val="20"/>
          <w:lang w:val="en-GB"/>
        </w:rPr>
        <w:t>by May 2021</w:t>
      </w:r>
      <w:r w:rsidRPr="006629F7">
        <w:rPr>
          <w:sz w:val="20"/>
          <w:szCs w:val="20"/>
          <w:lang w:val="en-GB"/>
        </w:rPr>
        <w:t xml:space="preserve"> (full list in Appendix A1). For </w:t>
      </w:r>
      <w:r w:rsidR="00513D3B">
        <w:rPr>
          <w:sz w:val="20"/>
          <w:szCs w:val="20"/>
          <w:lang w:val="en-GB"/>
        </w:rPr>
        <w:t>the institutional</w:t>
      </w:r>
      <w:r w:rsidRPr="006629F7">
        <w:rPr>
          <w:sz w:val="20"/>
          <w:szCs w:val="20"/>
          <w:lang w:val="en-GB"/>
        </w:rPr>
        <w:t xml:space="preserve"> accounts, we collected the full corpus of tweets issued between the account creation date and May 3, 2021, through the Twitter API 2.0 academic track.</w:t>
      </w:r>
      <w:r w:rsidR="00AB2CD6" w:rsidRPr="006629F7">
        <w:rPr>
          <w:sz w:val="20"/>
          <w:szCs w:val="20"/>
          <w:lang w:val="en-GB"/>
        </w:rPr>
        <w:t xml:space="preserve"> In the case of personal accounts, however, we limit our dataset to the tweets </w:t>
      </w:r>
      <w:r w:rsidR="001112B4" w:rsidRPr="006629F7">
        <w:rPr>
          <w:sz w:val="20"/>
          <w:szCs w:val="20"/>
          <w:lang w:val="en-GB"/>
        </w:rPr>
        <w:t>issued between the day they assumed the office and collection date.</w:t>
      </w:r>
      <w:r w:rsidRPr="006629F7">
        <w:rPr>
          <w:sz w:val="20"/>
          <w:szCs w:val="20"/>
          <w:lang w:val="en-GB"/>
        </w:rPr>
        <w:t xml:space="preserve"> This approach gave us </w:t>
      </w:r>
      <w:r w:rsidR="00CC43E9" w:rsidRPr="006629F7">
        <w:rPr>
          <w:sz w:val="20"/>
          <w:szCs w:val="20"/>
          <w:lang w:val="en-GB"/>
        </w:rPr>
        <w:t xml:space="preserve">a population of </w:t>
      </w:r>
      <w:r w:rsidR="00F45814" w:rsidRPr="006629F7">
        <w:rPr>
          <w:iCs/>
          <w:sz w:val="20"/>
          <w:szCs w:val="20"/>
          <w:lang w:val="en-GB"/>
        </w:rPr>
        <w:t xml:space="preserve">960,831 </w:t>
      </w:r>
      <w:r w:rsidRPr="006629F7">
        <w:rPr>
          <w:iCs/>
          <w:sz w:val="20"/>
          <w:szCs w:val="20"/>
          <w:lang w:val="en-GB"/>
        </w:rPr>
        <w:t>supranational social media messages.</w:t>
      </w:r>
    </w:p>
    <w:p w14:paraId="6050AAA6" w14:textId="77777777" w:rsidR="00B07309" w:rsidRPr="006629F7" w:rsidRDefault="00B07309" w:rsidP="00B07309">
      <w:pPr>
        <w:pStyle w:val="BodyText"/>
        <w:jc w:val="both"/>
        <w:rPr>
          <w:sz w:val="20"/>
          <w:szCs w:val="20"/>
        </w:rPr>
      </w:pPr>
      <w:r w:rsidRPr="006629F7">
        <w:rPr>
          <w:sz w:val="20"/>
          <w:szCs w:val="20"/>
        </w:rPr>
        <w:t xml:space="preserve">While this offers a thus far unprecedented empirical perspective on the social media messages of supranational actors, the information it contains cannot be easily assessed in some absolute sense. Thus, to put supranational communication behavior on Twitter into perspective, we collected </w:t>
      </w:r>
      <w:r w:rsidRPr="006629F7">
        <w:rPr>
          <w:i/>
          <w:sz w:val="20"/>
          <w:szCs w:val="20"/>
        </w:rPr>
        <w:t>three additional benchmark datasets</w:t>
      </w:r>
      <w:r w:rsidRPr="006629F7">
        <w:rPr>
          <w:sz w:val="20"/>
          <w:szCs w:val="20"/>
        </w:rPr>
        <w:t xml:space="preserve">. </w:t>
      </w:r>
    </w:p>
    <w:p w14:paraId="11AF8956" w14:textId="1DC33A5A" w:rsidR="00B07309" w:rsidRPr="006629F7" w:rsidRDefault="00B07309" w:rsidP="00B07309">
      <w:pPr>
        <w:pStyle w:val="BodyText"/>
        <w:jc w:val="both"/>
        <w:rPr>
          <w:sz w:val="20"/>
          <w:szCs w:val="20"/>
        </w:rPr>
      </w:pPr>
      <w:r w:rsidRPr="006629F7">
        <w:rPr>
          <w:sz w:val="20"/>
          <w:szCs w:val="20"/>
        </w:rPr>
        <w:t xml:space="preserve">The first benchmark simply aims to establish what constitutes ‘normal’ behavior on the platform through a by-and-large </w:t>
      </w:r>
      <w:r w:rsidRPr="006629F7">
        <w:rPr>
          <w:i/>
          <w:sz w:val="20"/>
          <w:szCs w:val="20"/>
        </w:rPr>
        <w:t>random sample of tweets</w:t>
      </w:r>
      <w:r w:rsidRPr="006629F7">
        <w:rPr>
          <w:sz w:val="20"/>
          <w:szCs w:val="20"/>
        </w:rPr>
        <w:t xml:space="preserve">. To construct this sample, we streamed in tweets from 26 of the EU countries for a week with five-minute windows through Twitter </w:t>
      </w:r>
      <w:proofErr w:type="spellStart"/>
      <w:r w:rsidRPr="006629F7">
        <w:rPr>
          <w:sz w:val="20"/>
          <w:szCs w:val="20"/>
        </w:rPr>
        <w:t>Decahose</w:t>
      </w:r>
      <w:proofErr w:type="spellEnd"/>
      <w:r w:rsidRPr="006629F7">
        <w:rPr>
          <w:sz w:val="20"/>
          <w:szCs w:val="20"/>
        </w:rPr>
        <w:t xml:space="preserve"> API</w:t>
      </w:r>
      <w:r w:rsidR="00C15745">
        <w:rPr>
          <w:sz w:val="20"/>
          <w:szCs w:val="20"/>
        </w:rPr>
        <w:t xml:space="preserve"> using country </w:t>
      </w:r>
      <w:proofErr w:type="spellStart"/>
      <w:r w:rsidR="00C15745">
        <w:rPr>
          <w:sz w:val="20"/>
          <w:szCs w:val="20"/>
        </w:rPr>
        <w:t>bbox</w:t>
      </w:r>
      <w:proofErr w:type="spellEnd"/>
      <w:r w:rsidR="00C15745">
        <w:rPr>
          <w:sz w:val="20"/>
          <w:szCs w:val="20"/>
        </w:rPr>
        <w:t xml:space="preserve"> </w:t>
      </w:r>
      <w:r w:rsidR="009571D3">
        <w:rPr>
          <w:sz w:val="20"/>
          <w:szCs w:val="20"/>
        </w:rPr>
        <w:t>as selection criteria</w:t>
      </w:r>
      <w:r w:rsidRPr="006629F7">
        <w:rPr>
          <w:sz w:val="20"/>
          <w:szCs w:val="20"/>
        </w:rPr>
        <w:t xml:space="preserve">. This generates </w:t>
      </w:r>
      <w:r w:rsidR="006C7F5A" w:rsidRPr="006629F7">
        <w:rPr>
          <w:sz w:val="20"/>
          <w:szCs w:val="20"/>
        </w:rPr>
        <w:t>83,823</w:t>
      </w:r>
      <w:r w:rsidRPr="006629F7">
        <w:rPr>
          <w:sz w:val="20"/>
          <w:szCs w:val="20"/>
        </w:rPr>
        <w:t xml:space="preserve"> tweets that we can use as a baseline for ‘typical’ tweet features.</w:t>
      </w:r>
    </w:p>
    <w:p w14:paraId="1634525B" w14:textId="65A24D42" w:rsidR="00B07309" w:rsidRPr="006629F7" w:rsidRDefault="00B07309" w:rsidP="00B07309">
      <w:pPr>
        <w:pStyle w:val="BodyText"/>
        <w:jc w:val="both"/>
        <w:rPr>
          <w:sz w:val="20"/>
          <w:szCs w:val="20"/>
        </w:rPr>
      </w:pPr>
      <w:r w:rsidRPr="006629F7">
        <w:rPr>
          <w:sz w:val="20"/>
          <w:szCs w:val="20"/>
        </w:rPr>
        <w:t xml:space="preserve">More importantly, however, we </w:t>
      </w:r>
      <w:proofErr w:type="gramStart"/>
      <w:r w:rsidRPr="006629F7">
        <w:rPr>
          <w:sz w:val="20"/>
          <w:szCs w:val="20"/>
        </w:rPr>
        <w:t>have to</w:t>
      </w:r>
      <w:proofErr w:type="gramEnd"/>
      <w:r w:rsidRPr="006629F7">
        <w:rPr>
          <w:sz w:val="20"/>
          <w:szCs w:val="20"/>
        </w:rPr>
        <w:t xml:space="preserve"> note that the particular legitimacy challenges that EU actors face emerge from the fact that – in </w:t>
      </w:r>
      <w:proofErr w:type="spellStart"/>
      <w:r w:rsidRPr="006629F7">
        <w:rPr>
          <w:sz w:val="20"/>
          <w:szCs w:val="20"/>
        </w:rPr>
        <w:t>Delors</w:t>
      </w:r>
      <w:proofErr w:type="spellEnd"/>
      <w:r w:rsidRPr="006629F7">
        <w:rPr>
          <w:sz w:val="20"/>
          <w:szCs w:val="20"/>
        </w:rPr>
        <w:t xml:space="preserve">’ words – the EU is an unidentified political object. On the one hand, its </w:t>
      </w:r>
      <w:r w:rsidRPr="006629F7">
        <w:rPr>
          <w:sz w:val="20"/>
          <w:szCs w:val="20"/>
        </w:rPr>
        <w:lastRenderedPageBreak/>
        <w:t xml:space="preserve">competencies approximate that of a nation state. On the other hand, it carries significant markers of an international organization where member states guide and decide on how the political authority will be exercised. Our other benchmark datasets focus on comparing supranational media communication to exactly these different levels of governance. </w:t>
      </w:r>
    </w:p>
    <w:p w14:paraId="76A48CB0" w14:textId="199E400C" w:rsidR="00700442" w:rsidRPr="006629F7" w:rsidRDefault="00B07309" w:rsidP="00B07309">
      <w:pPr>
        <w:pStyle w:val="BodyText"/>
        <w:jc w:val="both"/>
        <w:rPr>
          <w:sz w:val="20"/>
          <w:szCs w:val="20"/>
        </w:rPr>
      </w:pPr>
      <w:r w:rsidRPr="006629F7">
        <w:rPr>
          <w:sz w:val="20"/>
          <w:szCs w:val="20"/>
        </w:rPr>
        <w:t xml:space="preserve">To approximate communication of national governments, we target the current UK government ministers, ministries, executive offices, </w:t>
      </w:r>
      <w:proofErr w:type="gramStart"/>
      <w:r w:rsidRPr="006629F7">
        <w:rPr>
          <w:sz w:val="20"/>
          <w:szCs w:val="20"/>
        </w:rPr>
        <w:t>agencies</w:t>
      </w:r>
      <w:proofErr w:type="gramEnd"/>
      <w:r w:rsidRPr="006629F7">
        <w:rPr>
          <w:sz w:val="20"/>
          <w:szCs w:val="20"/>
        </w:rPr>
        <w:t xml:space="preserve"> and individuals who are in charge of these institutions (see appendix XXX for the full list of accounts). Collecting the data analogously to the supranational EU actors above, this results in a benchmark of </w:t>
      </w:r>
      <w:r w:rsidR="0042225E" w:rsidRPr="006629F7">
        <w:rPr>
          <w:sz w:val="20"/>
          <w:szCs w:val="20"/>
        </w:rPr>
        <w:t>2,218,278</w:t>
      </w:r>
      <w:r w:rsidRPr="006629F7">
        <w:rPr>
          <w:sz w:val="20"/>
          <w:szCs w:val="20"/>
        </w:rPr>
        <w:t xml:space="preserve"> tweets.</w:t>
      </w:r>
      <w:r w:rsidR="00B733AF" w:rsidRPr="006629F7">
        <w:rPr>
          <w:sz w:val="20"/>
          <w:szCs w:val="20"/>
        </w:rPr>
        <w:t xml:space="preserve"> The choice of using the UK executive branch as an approximation of national governments is mainly motivated by practical reasons. The </w:t>
      </w:r>
      <w:r w:rsidR="0041550E" w:rsidRPr="006629F7">
        <w:rPr>
          <w:sz w:val="20"/>
          <w:szCs w:val="20"/>
        </w:rPr>
        <w:t xml:space="preserve">measurement methods for our indicators are mainly geared towards English language. </w:t>
      </w:r>
      <w:r w:rsidR="00C6753C" w:rsidRPr="006629F7">
        <w:rPr>
          <w:sz w:val="20"/>
          <w:szCs w:val="20"/>
        </w:rPr>
        <w:t xml:space="preserve">We are not aware of any method that can measure linguistic complexity in a </w:t>
      </w:r>
      <w:r w:rsidR="00B7492A" w:rsidRPr="006629F7">
        <w:rPr>
          <w:sz w:val="20"/>
          <w:szCs w:val="20"/>
        </w:rPr>
        <w:t>multi-lingual corpus</w:t>
      </w:r>
      <w:r w:rsidR="00C6753C" w:rsidRPr="006629F7">
        <w:rPr>
          <w:sz w:val="20"/>
          <w:szCs w:val="20"/>
        </w:rPr>
        <w:t xml:space="preserve"> </w:t>
      </w:r>
      <w:r w:rsidR="00832A33" w:rsidRPr="006629F7">
        <w:rPr>
          <w:sz w:val="20"/>
          <w:szCs w:val="20"/>
        </w:rPr>
        <w:t xml:space="preserve">as languages tend to have strong differences. Considering that we are limited by the available methods and </w:t>
      </w:r>
      <w:r w:rsidR="00D111F2" w:rsidRPr="006629F7">
        <w:rPr>
          <w:sz w:val="20"/>
          <w:szCs w:val="20"/>
        </w:rPr>
        <w:t xml:space="preserve">vast </w:t>
      </w:r>
      <w:r w:rsidR="00DF113D" w:rsidRPr="006629F7">
        <w:rPr>
          <w:sz w:val="20"/>
          <w:szCs w:val="20"/>
        </w:rPr>
        <w:t xml:space="preserve">majority of messages from the EU are in English, </w:t>
      </w:r>
      <w:r w:rsidR="00B7492A" w:rsidRPr="006629F7">
        <w:rPr>
          <w:sz w:val="20"/>
          <w:szCs w:val="20"/>
        </w:rPr>
        <w:t>the UK government constitutes an imperfect yet sufficient benchmark.</w:t>
      </w:r>
    </w:p>
    <w:p w14:paraId="704823AE" w14:textId="2F908671" w:rsidR="00B07309" w:rsidRDefault="00CD1768" w:rsidP="00B07309">
      <w:pPr>
        <w:pStyle w:val="BodyText"/>
        <w:jc w:val="both"/>
        <w:rPr>
          <w:sz w:val="20"/>
          <w:szCs w:val="20"/>
        </w:rPr>
      </w:pPr>
      <w:r w:rsidRPr="006629F7">
        <w:rPr>
          <w:sz w:val="20"/>
          <w:szCs w:val="20"/>
        </w:rPr>
        <w:t xml:space="preserve">Our third set of benchmark dataset </w:t>
      </w:r>
      <w:r w:rsidR="00294155" w:rsidRPr="006629F7">
        <w:rPr>
          <w:sz w:val="20"/>
          <w:szCs w:val="20"/>
        </w:rPr>
        <w:t xml:space="preserve">comprises of Twitter accounts of regional organizations with comparable </w:t>
      </w:r>
      <w:r w:rsidR="00376EE6" w:rsidRPr="006629F7">
        <w:rPr>
          <w:sz w:val="20"/>
          <w:szCs w:val="20"/>
        </w:rPr>
        <w:t xml:space="preserve">policy scope. This choice is motivated by two reasons. </w:t>
      </w:r>
      <w:proofErr w:type="gramStart"/>
      <w:r w:rsidR="00376EE6" w:rsidRPr="006629F7">
        <w:rPr>
          <w:sz w:val="20"/>
          <w:szCs w:val="20"/>
        </w:rPr>
        <w:t>First of all</w:t>
      </w:r>
      <w:proofErr w:type="gramEnd"/>
      <w:r w:rsidR="00376EE6" w:rsidRPr="006629F7">
        <w:rPr>
          <w:sz w:val="20"/>
          <w:szCs w:val="20"/>
        </w:rPr>
        <w:t>,</w:t>
      </w:r>
      <w:r w:rsidR="00B2467A" w:rsidRPr="006629F7">
        <w:rPr>
          <w:sz w:val="20"/>
          <w:szCs w:val="20"/>
        </w:rPr>
        <w:t xml:space="preserve"> the EU is still a regional organization constituted by state</w:t>
      </w:r>
      <w:r w:rsidR="00A61CE1">
        <w:rPr>
          <w:sz w:val="20"/>
          <w:szCs w:val="20"/>
        </w:rPr>
        <w:t>s</w:t>
      </w:r>
      <w:r w:rsidR="00B2467A" w:rsidRPr="006629F7">
        <w:rPr>
          <w:sz w:val="20"/>
          <w:szCs w:val="20"/>
        </w:rPr>
        <w:t xml:space="preserve"> from a particular continent</w:t>
      </w:r>
      <w:r w:rsidR="00376EE6" w:rsidRPr="006629F7">
        <w:rPr>
          <w:sz w:val="20"/>
          <w:szCs w:val="20"/>
        </w:rPr>
        <w:t xml:space="preserve"> e</w:t>
      </w:r>
      <w:r w:rsidR="007115B5" w:rsidRPr="006629F7">
        <w:rPr>
          <w:sz w:val="20"/>
          <w:szCs w:val="20"/>
        </w:rPr>
        <w:t xml:space="preserve">ven though </w:t>
      </w:r>
      <w:r w:rsidR="00B2467A" w:rsidRPr="006629F7">
        <w:rPr>
          <w:sz w:val="20"/>
          <w:szCs w:val="20"/>
        </w:rPr>
        <w:t>it</w:t>
      </w:r>
      <w:r w:rsidR="007115B5" w:rsidRPr="006629F7">
        <w:rPr>
          <w:sz w:val="20"/>
          <w:szCs w:val="20"/>
        </w:rPr>
        <w:t xml:space="preserve"> has </w:t>
      </w:r>
      <w:r w:rsidR="00EF4B23" w:rsidRPr="006629F7">
        <w:rPr>
          <w:sz w:val="20"/>
          <w:szCs w:val="20"/>
        </w:rPr>
        <w:t>unprecedented level</w:t>
      </w:r>
      <w:r w:rsidR="003E370A">
        <w:rPr>
          <w:sz w:val="20"/>
          <w:szCs w:val="20"/>
        </w:rPr>
        <w:t>s</w:t>
      </w:r>
      <w:r w:rsidR="00EF4B23" w:rsidRPr="006629F7">
        <w:rPr>
          <w:sz w:val="20"/>
          <w:szCs w:val="20"/>
        </w:rPr>
        <w:t xml:space="preserve"> of competence for a political authority beyond nation state</w:t>
      </w:r>
      <w:r w:rsidR="00BD5E14" w:rsidRPr="006629F7">
        <w:rPr>
          <w:sz w:val="20"/>
          <w:szCs w:val="20"/>
        </w:rPr>
        <w:t>.</w:t>
      </w:r>
      <w:r w:rsidR="00B2467A" w:rsidRPr="006629F7">
        <w:rPr>
          <w:sz w:val="20"/>
          <w:szCs w:val="20"/>
        </w:rPr>
        <w:t xml:space="preserve"> </w:t>
      </w:r>
      <w:r w:rsidR="003E370A" w:rsidRPr="006629F7">
        <w:rPr>
          <w:sz w:val="20"/>
          <w:szCs w:val="20"/>
        </w:rPr>
        <w:t>Therefore,</w:t>
      </w:r>
      <w:r w:rsidR="00B2467A" w:rsidRPr="006629F7">
        <w:rPr>
          <w:sz w:val="20"/>
          <w:szCs w:val="20"/>
        </w:rPr>
        <w:t xml:space="preserve"> the natural </w:t>
      </w:r>
      <w:proofErr w:type="gramStart"/>
      <w:r w:rsidR="009D13AD" w:rsidRPr="006629F7">
        <w:rPr>
          <w:sz w:val="20"/>
          <w:szCs w:val="20"/>
        </w:rPr>
        <w:t>peers</w:t>
      </w:r>
      <w:proofErr w:type="gramEnd"/>
      <w:r w:rsidR="009D13AD" w:rsidRPr="006629F7">
        <w:rPr>
          <w:sz w:val="20"/>
          <w:szCs w:val="20"/>
        </w:rPr>
        <w:t xml:space="preserve"> for the EU becomes regional organizations instead of international organizations. The second reason </w:t>
      </w:r>
      <w:r w:rsidR="00AA332F" w:rsidRPr="006629F7">
        <w:rPr>
          <w:sz w:val="20"/>
          <w:szCs w:val="20"/>
        </w:rPr>
        <w:t>grounds</w:t>
      </w:r>
      <w:r w:rsidR="009D13AD" w:rsidRPr="006629F7">
        <w:rPr>
          <w:sz w:val="20"/>
          <w:szCs w:val="20"/>
        </w:rPr>
        <w:t xml:space="preserve"> the</w:t>
      </w:r>
      <w:r w:rsidR="00AA332F" w:rsidRPr="006629F7">
        <w:rPr>
          <w:sz w:val="20"/>
          <w:szCs w:val="20"/>
        </w:rPr>
        <w:t xml:space="preserve"> comparable policy scope part of our decision. </w:t>
      </w:r>
      <w:r w:rsidR="00C4465B" w:rsidRPr="006629F7">
        <w:rPr>
          <w:sz w:val="20"/>
          <w:szCs w:val="20"/>
        </w:rPr>
        <w:t xml:space="preserve">The EU is by and large an outlier in terms of level of authority in different policy areas. To our knowledge, there is no other </w:t>
      </w:r>
      <w:r w:rsidR="00095C88" w:rsidRPr="006629F7">
        <w:rPr>
          <w:sz w:val="20"/>
          <w:szCs w:val="20"/>
        </w:rPr>
        <w:t>polity with such extensive political power beyond nation states.</w:t>
      </w:r>
      <w:r w:rsidR="00465F51" w:rsidRPr="006629F7">
        <w:rPr>
          <w:sz w:val="20"/>
          <w:szCs w:val="20"/>
        </w:rPr>
        <w:t xml:space="preserve"> However, the EU is less of an outlier when it comes to the number of competence areas. Many of the regional organizations around the world has</w:t>
      </w:r>
      <w:r w:rsidR="002B4E3E" w:rsidRPr="006629F7">
        <w:rPr>
          <w:sz w:val="20"/>
          <w:szCs w:val="20"/>
        </w:rPr>
        <w:t xml:space="preserve"> a comparable number of </w:t>
      </w:r>
      <w:r w:rsidR="00BD2883" w:rsidRPr="006629F7">
        <w:rPr>
          <w:sz w:val="20"/>
          <w:szCs w:val="20"/>
        </w:rPr>
        <w:t xml:space="preserve">policy areas. </w:t>
      </w:r>
      <w:r w:rsidR="00095C88" w:rsidRPr="006629F7">
        <w:rPr>
          <w:sz w:val="20"/>
          <w:szCs w:val="20"/>
        </w:rPr>
        <w:t xml:space="preserve"> </w:t>
      </w:r>
      <w:r w:rsidR="00BD2883" w:rsidRPr="006629F7">
        <w:rPr>
          <w:sz w:val="20"/>
          <w:szCs w:val="20"/>
        </w:rPr>
        <w:t xml:space="preserve">Thus we identify a set of regional organizations </w:t>
      </w:r>
      <w:r w:rsidR="00B07309" w:rsidRPr="006629F7">
        <w:rPr>
          <w:sz w:val="20"/>
          <w:szCs w:val="20"/>
        </w:rPr>
        <w:t xml:space="preserve">that have a roughly similar policy scope as the EU, picking those organizations that are in the range of one standard deviation around the EU with regard to the number of policy areas </w:t>
      </w:r>
      <w:r w:rsidR="003342E5">
        <w:rPr>
          <w:sz w:val="20"/>
          <w:szCs w:val="20"/>
        </w:rPr>
        <w:t>using</w:t>
      </w:r>
      <w:r w:rsidR="00B07309" w:rsidRPr="006629F7">
        <w:rPr>
          <w:sz w:val="20"/>
          <w:szCs w:val="20"/>
        </w:rPr>
        <w:t xml:space="preserve"> the MIA dataset </w:t>
      </w:r>
      <w:r w:rsidR="00B07309" w:rsidRPr="006629F7">
        <w:rPr>
          <w:sz w:val="20"/>
          <w:szCs w:val="20"/>
        </w:rPr>
        <w:fldChar w:fldCharType="begin"/>
      </w:r>
      <w:r w:rsidR="000E7F85" w:rsidRPr="006629F7">
        <w:rPr>
          <w:sz w:val="20"/>
          <w:szCs w:val="20"/>
        </w:rPr>
        <w:instrText xml:space="preserve"> ADDIN ZOTERO_ITEM CSL_CITATION {"citationID":"kQ2H9pUV","properties":{"formattedCitation":"(Hooghe 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00B07309" w:rsidRPr="006629F7">
        <w:rPr>
          <w:sz w:val="20"/>
          <w:szCs w:val="20"/>
        </w:rPr>
        <w:fldChar w:fldCharType="separate"/>
      </w:r>
      <w:r w:rsidR="00B07309" w:rsidRPr="006629F7">
        <w:rPr>
          <w:rFonts w:ascii="Cambria" w:hAnsi="Cambria"/>
          <w:sz w:val="20"/>
          <w:szCs w:val="20"/>
        </w:rPr>
        <w:t>(Hooghe et al., 2017)</w:t>
      </w:r>
      <w:r w:rsidR="00B07309" w:rsidRPr="006629F7">
        <w:rPr>
          <w:sz w:val="20"/>
          <w:szCs w:val="20"/>
        </w:rPr>
        <w:fldChar w:fldCharType="end"/>
      </w:r>
      <w:r w:rsidR="00B07309" w:rsidRPr="006629F7">
        <w:rPr>
          <w:sz w:val="20"/>
          <w:szCs w:val="20"/>
        </w:rPr>
        <w:t xml:space="preserve">. We identified their Twitter accounts </w:t>
      </w:r>
      <w:r w:rsidR="003342E5">
        <w:rPr>
          <w:sz w:val="20"/>
          <w:szCs w:val="20"/>
        </w:rPr>
        <w:t>utilizing</w:t>
      </w:r>
      <w:r w:rsidR="00B07309" w:rsidRPr="006629F7">
        <w:rPr>
          <w:sz w:val="20"/>
          <w:szCs w:val="20"/>
        </w:rPr>
        <w:t xml:space="preserve"> the list collected and kindly shared by Matthias Ecker-Erhardt </w:t>
      </w:r>
      <w:r w:rsidR="00B07309" w:rsidRPr="006629F7">
        <w:rPr>
          <w:sz w:val="20"/>
          <w:szCs w:val="20"/>
        </w:rPr>
        <w:fldChar w:fldCharType="begin"/>
      </w:r>
      <w:r w:rsidR="000E7F85" w:rsidRPr="006629F7">
        <w:rPr>
          <w:sz w:val="20"/>
          <w:szCs w:val="20"/>
        </w:rPr>
        <w:instrText xml:space="preserve"> ADDIN ZOTERO_ITEM CSL_CITATION {"citationID":"PGmEYiPi","properties":{"formattedCitation":"(2020;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00B07309" w:rsidRPr="006629F7">
        <w:rPr>
          <w:sz w:val="20"/>
          <w:szCs w:val="20"/>
        </w:rPr>
        <w:fldChar w:fldCharType="separate"/>
      </w:r>
      <w:r w:rsidR="00B07309" w:rsidRPr="006629F7">
        <w:rPr>
          <w:rFonts w:ascii="Cambria" w:hAnsi="Cambria"/>
          <w:sz w:val="20"/>
          <w:szCs w:val="20"/>
        </w:rPr>
        <w:t>(2020; full list in Appendix XXX)</w:t>
      </w:r>
      <w:r w:rsidR="00B07309" w:rsidRPr="006629F7">
        <w:rPr>
          <w:sz w:val="20"/>
          <w:szCs w:val="20"/>
        </w:rPr>
        <w:fldChar w:fldCharType="end"/>
      </w:r>
      <w:r w:rsidR="00B07309" w:rsidRPr="006629F7">
        <w:rPr>
          <w:sz w:val="20"/>
          <w:szCs w:val="20"/>
        </w:rPr>
        <w:t>. This results in 55 accounts for which we could analogously collect 294,219 individual tweets for our final benchmark.</w:t>
      </w:r>
      <w:r w:rsidR="00320A55">
        <w:rPr>
          <w:sz w:val="20"/>
          <w:szCs w:val="20"/>
        </w:rPr>
        <w:t xml:space="preserve"> The descriptive summary of the final dataset is presented in table 1.</w:t>
      </w:r>
    </w:p>
    <w:tbl>
      <w:tblPr>
        <w:tblStyle w:val="Table"/>
        <w:tblW w:w="5000" w:type="pct"/>
        <w:tblInd w:w="0" w:type="dxa"/>
        <w:tblLook w:val="0020" w:firstRow="1" w:lastRow="0" w:firstColumn="0" w:lastColumn="0" w:noHBand="0" w:noVBand="0"/>
      </w:tblPr>
      <w:tblGrid>
        <w:gridCol w:w="2287"/>
        <w:gridCol w:w="1504"/>
        <w:gridCol w:w="1571"/>
        <w:gridCol w:w="1852"/>
        <w:gridCol w:w="1812"/>
      </w:tblGrid>
      <w:tr w:rsidR="00922E0A" w14:paraId="7E2E075C" w14:textId="77777777" w:rsidTr="00DA726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8" w:space="0" w:color="auto"/>
            </w:tcBorders>
          </w:tcPr>
          <w:p w14:paraId="6FB3943E" w14:textId="77777777" w:rsidR="00922E0A" w:rsidRDefault="00922E0A">
            <w:pPr>
              <w:pStyle w:val="Compact"/>
              <w:rPr>
                <w:b/>
                <w:bCs/>
              </w:rPr>
            </w:pPr>
          </w:p>
        </w:tc>
        <w:tc>
          <w:tcPr>
            <w:tcW w:w="1703" w:type="pct"/>
            <w:gridSpan w:val="2"/>
            <w:tcBorders>
              <w:top w:val="nil"/>
              <w:left w:val="nil"/>
              <w:bottom w:val="single" w:sz="18" w:space="0" w:color="auto"/>
              <w:right w:val="nil"/>
            </w:tcBorders>
            <w:hideMark/>
          </w:tcPr>
          <w:p w14:paraId="574B0A4E" w14:textId="77777777" w:rsidR="00922E0A" w:rsidRDefault="00922E0A">
            <w:pPr>
              <w:pStyle w:val="Compact"/>
              <w:jc w:val="center"/>
              <w:rPr>
                <w:b/>
                <w:bCs/>
              </w:rPr>
            </w:pPr>
            <w:r>
              <w:rPr>
                <w:b/>
                <w:bCs/>
              </w:rPr>
              <w:t>Account type</w:t>
            </w:r>
          </w:p>
        </w:tc>
        <w:tc>
          <w:tcPr>
            <w:tcW w:w="2030" w:type="pct"/>
            <w:gridSpan w:val="2"/>
            <w:tcBorders>
              <w:top w:val="nil"/>
              <w:left w:val="nil"/>
              <w:bottom w:val="single" w:sz="18" w:space="0" w:color="auto"/>
              <w:right w:val="nil"/>
            </w:tcBorders>
            <w:hideMark/>
          </w:tcPr>
          <w:p w14:paraId="74D72EDF" w14:textId="77777777" w:rsidR="00922E0A" w:rsidRDefault="00922E0A">
            <w:pPr>
              <w:pStyle w:val="Compact"/>
              <w:jc w:val="center"/>
              <w:rPr>
                <w:b/>
                <w:bCs/>
              </w:rPr>
            </w:pPr>
            <w:r>
              <w:rPr>
                <w:b/>
                <w:bCs/>
              </w:rPr>
              <w:t>Tweet count</w:t>
            </w:r>
          </w:p>
        </w:tc>
      </w:tr>
      <w:tr w:rsidR="00922E0A" w14:paraId="7CA28AE4" w14:textId="77777777" w:rsidTr="00DA7269">
        <w:tc>
          <w:tcPr>
            <w:tcW w:w="0" w:type="auto"/>
            <w:tcBorders>
              <w:top w:val="single" w:sz="18" w:space="0" w:color="auto"/>
              <w:left w:val="nil"/>
              <w:bottom w:val="single" w:sz="18" w:space="0" w:color="auto"/>
              <w:right w:val="nil"/>
            </w:tcBorders>
            <w:hideMark/>
          </w:tcPr>
          <w:p w14:paraId="46DD596B" w14:textId="77777777" w:rsidR="00922E0A" w:rsidRDefault="00922E0A">
            <w:pPr>
              <w:pStyle w:val="Compact"/>
            </w:pPr>
            <w:r>
              <w:rPr>
                <w:b/>
                <w:bCs/>
              </w:rPr>
              <w:t>Sample</w:t>
            </w:r>
          </w:p>
        </w:tc>
        <w:tc>
          <w:tcPr>
            <w:tcW w:w="833" w:type="pct"/>
            <w:tcBorders>
              <w:top w:val="single" w:sz="18" w:space="0" w:color="auto"/>
              <w:left w:val="nil"/>
              <w:bottom w:val="single" w:sz="18" w:space="0" w:color="auto"/>
              <w:right w:val="nil"/>
            </w:tcBorders>
            <w:hideMark/>
          </w:tcPr>
          <w:p w14:paraId="34BC4799" w14:textId="77777777" w:rsidR="00922E0A" w:rsidRDefault="00922E0A">
            <w:pPr>
              <w:pStyle w:val="Compact"/>
              <w:jc w:val="center"/>
              <w:rPr>
                <w:b/>
                <w:bCs/>
              </w:rPr>
            </w:pPr>
            <w:r>
              <w:rPr>
                <w:b/>
                <w:bCs/>
              </w:rPr>
              <w:t>Institutional Account</w:t>
            </w:r>
          </w:p>
          <w:p w14:paraId="3613775F" w14:textId="77777777" w:rsidR="00922E0A" w:rsidRDefault="00922E0A">
            <w:pPr>
              <w:pStyle w:val="Compact"/>
              <w:jc w:val="center"/>
              <w:rPr>
                <w:b/>
                <w:bCs/>
              </w:rPr>
            </w:pPr>
            <w:r>
              <w:t>N = 190</w:t>
            </w:r>
          </w:p>
        </w:tc>
        <w:tc>
          <w:tcPr>
            <w:tcW w:w="870" w:type="pct"/>
            <w:tcBorders>
              <w:top w:val="single" w:sz="18" w:space="0" w:color="auto"/>
              <w:left w:val="nil"/>
              <w:bottom w:val="single" w:sz="18" w:space="0" w:color="auto"/>
              <w:right w:val="nil"/>
            </w:tcBorders>
            <w:hideMark/>
          </w:tcPr>
          <w:p w14:paraId="23D75998" w14:textId="77777777" w:rsidR="00922E0A" w:rsidRDefault="00922E0A">
            <w:pPr>
              <w:pStyle w:val="Compact"/>
              <w:jc w:val="center"/>
              <w:rPr>
                <w:b/>
                <w:bCs/>
              </w:rPr>
            </w:pPr>
            <w:r>
              <w:rPr>
                <w:b/>
                <w:bCs/>
              </w:rPr>
              <w:t>Personal account</w:t>
            </w:r>
          </w:p>
          <w:p w14:paraId="1794ED25" w14:textId="77777777" w:rsidR="00922E0A" w:rsidRDefault="00922E0A">
            <w:pPr>
              <w:pStyle w:val="Compact"/>
              <w:jc w:val="center"/>
              <w:rPr>
                <w:b/>
                <w:bCs/>
              </w:rPr>
            </w:pPr>
            <w:r>
              <w:t>N = 149</w:t>
            </w:r>
          </w:p>
        </w:tc>
        <w:tc>
          <w:tcPr>
            <w:tcW w:w="1026" w:type="pct"/>
            <w:tcBorders>
              <w:top w:val="single" w:sz="18" w:space="0" w:color="auto"/>
              <w:left w:val="nil"/>
              <w:bottom w:val="single" w:sz="18" w:space="0" w:color="auto"/>
              <w:right w:val="nil"/>
            </w:tcBorders>
            <w:hideMark/>
          </w:tcPr>
          <w:p w14:paraId="475A5E83" w14:textId="77777777" w:rsidR="00922E0A" w:rsidRDefault="00922E0A">
            <w:pPr>
              <w:pStyle w:val="Compact"/>
              <w:jc w:val="center"/>
              <w:rPr>
                <w:b/>
                <w:bCs/>
              </w:rPr>
            </w:pPr>
            <w:r>
              <w:rPr>
                <w:b/>
                <w:bCs/>
              </w:rPr>
              <w:t>Institutional Account</w:t>
            </w:r>
          </w:p>
          <w:p w14:paraId="70E898A9" w14:textId="77777777" w:rsidR="00922E0A" w:rsidRDefault="00922E0A">
            <w:pPr>
              <w:pStyle w:val="Compact"/>
              <w:jc w:val="center"/>
            </w:pPr>
            <w:r>
              <w:t>N = 2,504,782</w:t>
            </w:r>
          </w:p>
        </w:tc>
        <w:tc>
          <w:tcPr>
            <w:tcW w:w="1004" w:type="pct"/>
            <w:tcBorders>
              <w:top w:val="single" w:sz="18" w:space="0" w:color="auto"/>
              <w:left w:val="nil"/>
              <w:bottom w:val="single" w:sz="18" w:space="0" w:color="auto"/>
              <w:right w:val="nil"/>
            </w:tcBorders>
            <w:hideMark/>
          </w:tcPr>
          <w:p w14:paraId="263579C4" w14:textId="77777777" w:rsidR="00922E0A" w:rsidRDefault="00922E0A">
            <w:pPr>
              <w:pStyle w:val="Compact"/>
              <w:jc w:val="center"/>
              <w:rPr>
                <w:b/>
                <w:bCs/>
              </w:rPr>
            </w:pPr>
            <w:r>
              <w:rPr>
                <w:b/>
                <w:bCs/>
              </w:rPr>
              <w:t>Personal account</w:t>
            </w:r>
          </w:p>
          <w:p w14:paraId="6C8D1D1B" w14:textId="77777777" w:rsidR="00922E0A" w:rsidRDefault="00922E0A">
            <w:pPr>
              <w:pStyle w:val="Compact"/>
              <w:jc w:val="center"/>
            </w:pPr>
            <w:r>
              <w:t>N = 1,052,369</w:t>
            </w:r>
          </w:p>
        </w:tc>
      </w:tr>
      <w:tr w:rsidR="00922E0A" w14:paraId="1C759B7F" w14:textId="77777777" w:rsidTr="00DA7269">
        <w:tc>
          <w:tcPr>
            <w:tcW w:w="0" w:type="auto"/>
            <w:tcBorders>
              <w:top w:val="single" w:sz="18" w:space="0" w:color="auto"/>
              <w:left w:val="nil"/>
              <w:bottom w:val="nil"/>
              <w:right w:val="nil"/>
            </w:tcBorders>
            <w:hideMark/>
          </w:tcPr>
          <w:p w14:paraId="02B7573A" w14:textId="77777777" w:rsidR="00922E0A" w:rsidRDefault="00922E0A">
            <w:pPr>
              <w:pStyle w:val="Compact"/>
            </w:pPr>
            <w:r>
              <w:t>EU</w:t>
            </w:r>
          </w:p>
        </w:tc>
        <w:tc>
          <w:tcPr>
            <w:tcW w:w="833" w:type="pct"/>
            <w:tcBorders>
              <w:top w:val="single" w:sz="18" w:space="0" w:color="auto"/>
              <w:left w:val="nil"/>
              <w:bottom w:val="nil"/>
              <w:right w:val="nil"/>
            </w:tcBorders>
            <w:hideMark/>
          </w:tcPr>
          <w:p w14:paraId="4E99EC10" w14:textId="77777777" w:rsidR="00922E0A" w:rsidRDefault="00922E0A">
            <w:pPr>
              <w:pStyle w:val="Compact"/>
              <w:jc w:val="center"/>
            </w:pPr>
            <w:r>
              <w:t>70 (37%)</w:t>
            </w:r>
          </w:p>
        </w:tc>
        <w:tc>
          <w:tcPr>
            <w:tcW w:w="870" w:type="pct"/>
            <w:tcBorders>
              <w:top w:val="single" w:sz="18" w:space="0" w:color="auto"/>
              <w:left w:val="nil"/>
              <w:bottom w:val="nil"/>
              <w:right w:val="nil"/>
            </w:tcBorders>
            <w:hideMark/>
          </w:tcPr>
          <w:p w14:paraId="0202112A" w14:textId="77777777" w:rsidR="00922E0A" w:rsidRDefault="00922E0A">
            <w:pPr>
              <w:pStyle w:val="Compact"/>
              <w:jc w:val="center"/>
            </w:pPr>
            <w:r>
              <w:t>43 (29%)</w:t>
            </w:r>
          </w:p>
        </w:tc>
        <w:tc>
          <w:tcPr>
            <w:tcW w:w="1026" w:type="pct"/>
            <w:tcBorders>
              <w:top w:val="single" w:sz="18" w:space="0" w:color="auto"/>
              <w:left w:val="nil"/>
              <w:bottom w:val="nil"/>
              <w:right w:val="nil"/>
            </w:tcBorders>
            <w:hideMark/>
          </w:tcPr>
          <w:p w14:paraId="2459193A" w14:textId="77777777" w:rsidR="00922E0A" w:rsidRDefault="00922E0A">
            <w:pPr>
              <w:pStyle w:val="Compact"/>
              <w:jc w:val="center"/>
            </w:pPr>
            <w:r>
              <w:t>789,006 (31%)</w:t>
            </w:r>
          </w:p>
        </w:tc>
        <w:tc>
          <w:tcPr>
            <w:tcW w:w="1004" w:type="pct"/>
            <w:tcBorders>
              <w:top w:val="single" w:sz="18" w:space="0" w:color="auto"/>
              <w:left w:val="nil"/>
              <w:bottom w:val="nil"/>
              <w:right w:val="nil"/>
            </w:tcBorders>
            <w:hideMark/>
          </w:tcPr>
          <w:p w14:paraId="09299CEB" w14:textId="77777777" w:rsidR="00922E0A" w:rsidRDefault="00922E0A">
            <w:pPr>
              <w:pStyle w:val="Compact"/>
              <w:jc w:val="center"/>
            </w:pPr>
            <w:r>
              <w:t>171,825 (16%)</w:t>
            </w:r>
          </w:p>
        </w:tc>
      </w:tr>
      <w:tr w:rsidR="00922E0A" w14:paraId="742F70CB" w14:textId="77777777" w:rsidTr="00922E0A">
        <w:tc>
          <w:tcPr>
            <w:tcW w:w="0" w:type="auto"/>
            <w:hideMark/>
          </w:tcPr>
          <w:p w14:paraId="66DB0C7C" w14:textId="77777777" w:rsidR="00922E0A" w:rsidRDefault="00922E0A">
            <w:pPr>
              <w:pStyle w:val="Compact"/>
            </w:pPr>
            <w:r>
              <w:t>IO</w:t>
            </w:r>
          </w:p>
        </w:tc>
        <w:tc>
          <w:tcPr>
            <w:tcW w:w="833" w:type="pct"/>
            <w:hideMark/>
          </w:tcPr>
          <w:p w14:paraId="7C7AD778" w14:textId="77777777" w:rsidR="00922E0A" w:rsidRDefault="00922E0A">
            <w:pPr>
              <w:pStyle w:val="Compact"/>
              <w:jc w:val="center"/>
            </w:pPr>
            <w:r>
              <w:t>48 (25%)</w:t>
            </w:r>
          </w:p>
        </w:tc>
        <w:tc>
          <w:tcPr>
            <w:tcW w:w="870" w:type="pct"/>
            <w:hideMark/>
          </w:tcPr>
          <w:p w14:paraId="0FA9226A" w14:textId="77777777" w:rsidR="00922E0A" w:rsidRDefault="00922E0A">
            <w:pPr>
              <w:pStyle w:val="Compact"/>
              <w:jc w:val="center"/>
            </w:pPr>
            <w:r>
              <w:t>7 (4.7%)</w:t>
            </w:r>
          </w:p>
        </w:tc>
        <w:tc>
          <w:tcPr>
            <w:tcW w:w="1026" w:type="pct"/>
            <w:hideMark/>
          </w:tcPr>
          <w:p w14:paraId="6699EDE2" w14:textId="77777777" w:rsidR="00922E0A" w:rsidRDefault="00922E0A">
            <w:pPr>
              <w:pStyle w:val="Compact"/>
              <w:jc w:val="center"/>
            </w:pPr>
            <w:r>
              <w:t>269,219 (11%)</w:t>
            </w:r>
          </w:p>
        </w:tc>
        <w:tc>
          <w:tcPr>
            <w:tcW w:w="1004" w:type="pct"/>
            <w:hideMark/>
          </w:tcPr>
          <w:p w14:paraId="3A47EBD7" w14:textId="77777777" w:rsidR="00922E0A" w:rsidRDefault="00922E0A">
            <w:pPr>
              <w:pStyle w:val="Compact"/>
              <w:jc w:val="center"/>
            </w:pPr>
            <w:r>
              <w:t>25,000 (2.4%)</w:t>
            </w:r>
          </w:p>
        </w:tc>
      </w:tr>
      <w:tr w:rsidR="00922E0A" w14:paraId="1FCA2F92" w14:textId="77777777" w:rsidTr="00DA7269">
        <w:tc>
          <w:tcPr>
            <w:tcW w:w="0" w:type="auto"/>
            <w:hideMark/>
          </w:tcPr>
          <w:p w14:paraId="5B0705D8" w14:textId="77777777" w:rsidR="00922E0A" w:rsidRDefault="00922E0A">
            <w:pPr>
              <w:pStyle w:val="Compact"/>
            </w:pPr>
            <w:r>
              <w:t>Random tweets</w:t>
            </w:r>
          </w:p>
        </w:tc>
        <w:tc>
          <w:tcPr>
            <w:tcW w:w="833" w:type="pct"/>
            <w:hideMark/>
          </w:tcPr>
          <w:p w14:paraId="3778111A" w14:textId="77777777" w:rsidR="00922E0A" w:rsidRDefault="00922E0A">
            <w:pPr>
              <w:pStyle w:val="Compact"/>
              <w:jc w:val="center"/>
            </w:pPr>
            <w:r>
              <w:t>-</w:t>
            </w:r>
          </w:p>
        </w:tc>
        <w:tc>
          <w:tcPr>
            <w:tcW w:w="870" w:type="pct"/>
            <w:hideMark/>
          </w:tcPr>
          <w:p w14:paraId="1434DFED" w14:textId="77777777" w:rsidR="00922E0A" w:rsidRDefault="00922E0A">
            <w:pPr>
              <w:pStyle w:val="Compact"/>
              <w:jc w:val="center"/>
            </w:pPr>
            <w:r>
              <w:t>-</w:t>
            </w:r>
          </w:p>
        </w:tc>
        <w:tc>
          <w:tcPr>
            <w:tcW w:w="1026" w:type="pct"/>
            <w:hideMark/>
          </w:tcPr>
          <w:p w14:paraId="4B7F3388" w14:textId="77777777" w:rsidR="00922E0A" w:rsidRDefault="00922E0A">
            <w:pPr>
              <w:pStyle w:val="Compact"/>
              <w:jc w:val="center"/>
            </w:pPr>
            <w:r>
              <w:t>-</w:t>
            </w:r>
          </w:p>
        </w:tc>
        <w:tc>
          <w:tcPr>
            <w:tcW w:w="1004" w:type="pct"/>
            <w:hideMark/>
          </w:tcPr>
          <w:p w14:paraId="69E8B73B" w14:textId="77777777" w:rsidR="00922E0A" w:rsidRDefault="00922E0A">
            <w:pPr>
              <w:pStyle w:val="Compact"/>
              <w:jc w:val="center"/>
            </w:pPr>
            <w:r>
              <w:t>83,823 (3.3%)</w:t>
            </w:r>
          </w:p>
        </w:tc>
      </w:tr>
      <w:tr w:rsidR="00922E0A" w14:paraId="7A7941E0" w14:textId="77777777" w:rsidTr="00DA7269">
        <w:tc>
          <w:tcPr>
            <w:tcW w:w="0" w:type="auto"/>
            <w:tcBorders>
              <w:top w:val="nil"/>
              <w:left w:val="nil"/>
              <w:bottom w:val="single" w:sz="18" w:space="0" w:color="auto"/>
              <w:right w:val="nil"/>
            </w:tcBorders>
            <w:hideMark/>
          </w:tcPr>
          <w:p w14:paraId="2A8FC56A" w14:textId="77777777" w:rsidR="00922E0A" w:rsidRDefault="00922E0A">
            <w:pPr>
              <w:pStyle w:val="Compact"/>
            </w:pPr>
            <w:r>
              <w:t>UK</w:t>
            </w:r>
          </w:p>
        </w:tc>
        <w:tc>
          <w:tcPr>
            <w:tcW w:w="833" w:type="pct"/>
            <w:tcBorders>
              <w:top w:val="nil"/>
              <w:left w:val="nil"/>
              <w:bottom w:val="single" w:sz="18" w:space="0" w:color="auto"/>
              <w:right w:val="nil"/>
            </w:tcBorders>
            <w:hideMark/>
          </w:tcPr>
          <w:p w14:paraId="68953106" w14:textId="77777777" w:rsidR="00922E0A" w:rsidRDefault="00922E0A">
            <w:pPr>
              <w:pStyle w:val="Compact"/>
              <w:jc w:val="center"/>
            </w:pPr>
            <w:r>
              <w:t>72 (38%)</w:t>
            </w:r>
          </w:p>
        </w:tc>
        <w:tc>
          <w:tcPr>
            <w:tcW w:w="870" w:type="pct"/>
            <w:tcBorders>
              <w:top w:val="nil"/>
              <w:left w:val="nil"/>
              <w:bottom w:val="single" w:sz="18" w:space="0" w:color="auto"/>
              <w:right w:val="nil"/>
            </w:tcBorders>
            <w:hideMark/>
          </w:tcPr>
          <w:p w14:paraId="3E8691E4" w14:textId="77777777" w:rsidR="00922E0A" w:rsidRDefault="00922E0A">
            <w:pPr>
              <w:pStyle w:val="Compact"/>
              <w:jc w:val="center"/>
            </w:pPr>
            <w:r>
              <w:t>99 (66%)</w:t>
            </w:r>
          </w:p>
        </w:tc>
        <w:tc>
          <w:tcPr>
            <w:tcW w:w="1026" w:type="pct"/>
            <w:tcBorders>
              <w:top w:val="nil"/>
              <w:left w:val="nil"/>
              <w:bottom w:val="single" w:sz="18" w:space="0" w:color="auto"/>
              <w:right w:val="nil"/>
            </w:tcBorders>
            <w:hideMark/>
          </w:tcPr>
          <w:p w14:paraId="4B97A215" w14:textId="77777777" w:rsidR="00922E0A" w:rsidRDefault="00922E0A">
            <w:pPr>
              <w:pStyle w:val="Compact"/>
              <w:jc w:val="center"/>
            </w:pPr>
            <w:r>
              <w:t>1,362,734 (54%)</w:t>
            </w:r>
          </w:p>
        </w:tc>
        <w:tc>
          <w:tcPr>
            <w:tcW w:w="1004" w:type="pct"/>
            <w:tcBorders>
              <w:top w:val="nil"/>
              <w:left w:val="nil"/>
              <w:bottom w:val="single" w:sz="18" w:space="0" w:color="auto"/>
              <w:right w:val="nil"/>
            </w:tcBorders>
            <w:hideMark/>
          </w:tcPr>
          <w:p w14:paraId="1331D9B2" w14:textId="77777777" w:rsidR="00922E0A" w:rsidRDefault="00922E0A">
            <w:pPr>
              <w:pStyle w:val="Compact"/>
              <w:jc w:val="center"/>
            </w:pPr>
            <w:r>
              <w:t>855,544 (81%)</w:t>
            </w:r>
          </w:p>
        </w:tc>
      </w:tr>
    </w:tbl>
    <w:p w14:paraId="1A8DB403" w14:textId="082D8C89" w:rsidR="00B07309" w:rsidRPr="00775081" w:rsidRDefault="00775081" w:rsidP="00775081">
      <w:pPr>
        <w:pStyle w:val="Caption"/>
        <w:rPr>
          <w:sz w:val="20"/>
          <w:szCs w:val="20"/>
          <w:lang w:val="en-US"/>
        </w:rPr>
      </w:pPr>
      <w:r w:rsidRPr="00775081">
        <w:rPr>
          <w:lang w:val="en-US"/>
        </w:rPr>
        <w:t xml:space="preserve">Table </w:t>
      </w:r>
      <w:r>
        <w:fldChar w:fldCharType="begin"/>
      </w:r>
      <w:r w:rsidRPr="00775081">
        <w:rPr>
          <w:lang w:val="en-US"/>
        </w:rPr>
        <w:instrText xml:space="preserve"> SEQ Table \* ARABIC </w:instrText>
      </w:r>
      <w:r>
        <w:fldChar w:fldCharType="separate"/>
      </w:r>
      <w:r w:rsidRPr="00775081">
        <w:rPr>
          <w:noProof/>
          <w:lang w:val="en-US"/>
        </w:rPr>
        <w:t>1</w:t>
      </w:r>
      <w:r>
        <w:fldChar w:fldCharType="end"/>
      </w:r>
      <w:r w:rsidRPr="00775081">
        <w:rPr>
          <w:lang w:val="en-US"/>
        </w:rPr>
        <w:t>: Summary of final dataset</w:t>
      </w:r>
    </w:p>
    <w:p w14:paraId="493F9CD9" w14:textId="77777777" w:rsidR="00B07309" w:rsidRPr="006629F7" w:rsidRDefault="00B07309" w:rsidP="00B07309">
      <w:pPr>
        <w:pStyle w:val="Heading2"/>
        <w:rPr>
          <w:sz w:val="20"/>
          <w:szCs w:val="20"/>
          <w:lang w:val="en-US"/>
        </w:rPr>
      </w:pPr>
      <w:r w:rsidRPr="006629F7">
        <w:rPr>
          <w:sz w:val="20"/>
          <w:szCs w:val="20"/>
          <w:lang w:val="en-US"/>
        </w:rPr>
        <w:t>Indicators</w:t>
      </w:r>
    </w:p>
    <w:p w14:paraId="28710ECB" w14:textId="77777777" w:rsidR="00B07309" w:rsidRPr="006629F7" w:rsidRDefault="00B07309" w:rsidP="00B07309">
      <w:pPr>
        <w:pStyle w:val="BodyText"/>
        <w:jc w:val="both"/>
        <w:rPr>
          <w:sz w:val="20"/>
          <w:szCs w:val="20"/>
        </w:rPr>
      </w:pPr>
      <w:r w:rsidRPr="006629F7">
        <w:rPr>
          <w:sz w:val="20"/>
          <w:szCs w:val="20"/>
        </w:rP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1"/>
      <w:r w:rsidRPr="006629F7">
        <w:rPr>
          <w:sz w:val="20"/>
          <w:szCs w:val="20"/>
        </w:rPr>
        <w:t>Along our discussion above</w:t>
      </w:r>
      <w:commentRangeEnd w:id="1"/>
      <w:r w:rsidRPr="006629F7">
        <w:rPr>
          <w:rStyle w:val="CommentReference"/>
          <w:sz w:val="20"/>
          <w:szCs w:val="20"/>
        </w:rPr>
        <w:commentReference w:id="1"/>
      </w:r>
      <w:r w:rsidRPr="006629F7">
        <w:rPr>
          <w:sz w:val="20"/>
          <w:szCs w:val="20"/>
        </w:rPr>
        <w:t>, three blocks of indicators are of key interest here.</w:t>
      </w:r>
    </w:p>
    <w:p w14:paraId="1451530C" w14:textId="21BCB71C" w:rsidR="00B07309" w:rsidRPr="006629F7" w:rsidRDefault="00B07309" w:rsidP="00B07309">
      <w:pPr>
        <w:pStyle w:val="BodyText"/>
        <w:jc w:val="both"/>
        <w:rPr>
          <w:sz w:val="20"/>
          <w:szCs w:val="20"/>
        </w:rPr>
      </w:pPr>
      <w:r w:rsidRPr="006629F7">
        <w:rPr>
          <w:i/>
          <w:sz w:val="20"/>
          <w:szCs w:val="20"/>
        </w:rPr>
        <w:t xml:space="preserve">Textual message content: </w:t>
      </w:r>
      <w:commentRangeStart w:id="2"/>
      <w:r w:rsidRPr="006629F7">
        <w:rPr>
          <w:sz w:val="20"/>
          <w:szCs w:val="20"/>
        </w:rPr>
        <w:t xml:space="preserve">As noted above </w:t>
      </w:r>
      <w:commentRangeEnd w:id="2"/>
      <w:r w:rsidRPr="006629F7">
        <w:rPr>
          <w:rStyle w:val="CommentReference"/>
          <w:sz w:val="20"/>
          <w:szCs w:val="20"/>
        </w:rPr>
        <w:commentReference w:id="2"/>
      </w:r>
      <w:r w:rsidRPr="006629F7">
        <w:rPr>
          <w:sz w:val="20"/>
          <w:szCs w:val="20"/>
        </w:rPr>
        <w:t xml:space="preserve">a necessary condition for engaging messages is that the message is easily understandable and graspable in the first place. Exploiting the validations and tools provided by Benoit, </w:t>
      </w:r>
      <w:proofErr w:type="spellStart"/>
      <w:r w:rsidRPr="006629F7">
        <w:rPr>
          <w:sz w:val="20"/>
          <w:szCs w:val="20"/>
        </w:rPr>
        <w:t>Spirling</w:t>
      </w:r>
      <w:proofErr w:type="spellEnd"/>
      <w:r w:rsidRPr="006629F7">
        <w:rPr>
          <w:sz w:val="20"/>
          <w:szCs w:val="20"/>
        </w:rPr>
        <w:t xml:space="preserve">, and Munger </w:t>
      </w:r>
      <w:r w:rsidRPr="006629F7">
        <w:rPr>
          <w:sz w:val="20"/>
          <w:szCs w:val="20"/>
        </w:rPr>
        <w:fldChar w:fldCharType="begin"/>
      </w:r>
      <w:r w:rsidR="000E7F85" w:rsidRPr="006629F7">
        <w:rPr>
          <w:sz w:val="20"/>
          <w:szCs w:val="20"/>
        </w:rPr>
        <w:instrText xml:space="preserve"> ADDIN ZOTERO_ITEM CSL_CITATION {"citationID":"Pfbw8xAV","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Pr="006629F7">
        <w:rPr>
          <w:sz w:val="20"/>
          <w:szCs w:val="20"/>
        </w:rPr>
        <w:fldChar w:fldCharType="separate"/>
      </w:r>
      <w:r w:rsidRPr="006629F7">
        <w:rPr>
          <w:rFonts w:ascii="Cambria" w:hAnsi="Cambria"/>
          <w:sz w:val="20"/>
          <w:szCs w:val="20"/>
        </w:rPr>
        <w:t>(2019)</w:t>
      </w:r>
      <w:r w:rsidRPr="006629F7">
        <w:rPr>
          <w:sz w:val="20"/>
          <w:szCs w:val="20"/>
        </w:rPr>
        <w:fldChar w:fldCharType="end"/>
      </w:r>
      <w:r w:rsidRPr="006629F7">
        <w:rPr>
          <w:sz w:val="20"/>
          <w:szCs w:val="20"/>
        </w:rPr>
        <w:t xml:space="preserve"> we thus extract </w:t>
      </w:r>
      <w:r w:rsidR="0022164A" w:rsidRPr="006629F7">
        <w:rPr>
          <w:sz w:val="20"/>
          <w:szCs w:val="20"/>
        </w:rPr>
        <w:t>three</w:t>
      </w:r>
      <w:r w:rsidRPr="006629F7">
        <w:rPr>
          <w:sz w:val="20"/>
          <w:szCs w:val="20"/>
        </w:rPr>
        <w:t xml:space="preserve"> features from the English-language elements of each Tweet. First, we measure syntactic and grammatical complexity by the Flesh/Kincaid reading ease score. This compound indicator of sentence and word length captures the required cognitive mobilization (often described by anchoring it in education levels) to grasp the textual content of a message. Second, we measure familiarity of the vocabulary supranational actors use. This is proxied by the average frequency by which the words </w:t>
      </w:r>
      <w:proofErr w:type="gramStart"/>
      <w:r w:rsidRPr="006629F7">
        <w:rPr>
          <w:sz w:val="20"/>
          <w:szCs w:val="20"/>
        </w:rPr>
        <w:t>in a given</w:t>
      </w:r>
      <w:proofErr w:type="gramEnd"/>
      <w:r w:rsidRPr="006629F7">
        <w:rPr>
          <w:sz w:val="20"/>
          <w:szCs w:val="20"/>
        </w:rPr>
        <w:t xml:space="preserve"> </w:t>
      </w:r>
      <w:r w:rsidRPr="006629F7">
        <w:rPr>
          <w:sz w:val="20"/>
          <w:szCs w:val="20"/>
        </w:rPr>
        <w:lastRenderedPageBreak/>
        <w:t xml:space="preserve">tweet occur in the overall Google Books corpus as the broadest available representation of the English language. The intuition is that words that are more common in the English </w:t>
      </w:r>
      <w:r w:rsidR="00350511" w:rsidRPr="006629F7">
        <w:rPr>
          <w:sz w:val="20"/>
          <w:szCs w:val="20"/>
        </w:rPr>
        <w:t>language, as</w:t>
      </w:r>
      <w:r w:rsidRPr="006629F7">
        <w:rPr>
          <w:sz w:val="20"/>
          <w:szCs w:val="20"/>
        </w:rPr>
        <w:t xml:space="preserve"> opposed to rarer </w:t>
      </w:r>
      <w:r w:rsidR="004A1F89" w:rsidRPr="006629F7">
        <w:rPr>
          <w:sz w:val="20"/>
          <w:szCs w:val="20"/>
        </w:rPr>
        <w:t>j</w:t>
      </w:r>
      <w:r w:rsidRPr="006629F7">
        <w:rPr>
          <w:sz w:val="20"/>
          <w:szCs w:val="20"/>
        </w:rPr>
        <w:t>argon</w:t>
      </w:r>
      <w:r w:rsidR="004A1F89" w:rsidRPr="006629F7">
        <w:rPr>
          <w:sz w:val="20"/>
          <w:szCs w:val="20"/>
        </w:rPr>
        <w:t>,</w:t>
      </w:r>
      <w:r w:rsidRPr="006629F7">
        <w:rPr>
          <w:sz w:val="20"/>
          <w:szCs w:val="20"/>
        </w:rPr>
        <w:t xml:space="preserve"> are better known and thus more readily understandable by a broad audience. </w:t>
      </w:r>
      <w:r w:rsidR="00350511" w:rsidRPr="006629F7">
        <w:rPr>
          <w:sz w:val="20"/>
          <w:szCs w:val="20"/>
        </w:rPr>
        <w:t xml:space="preserve">Lastly, we measure the average verb-to-noun ratio </w:t>
      </w:r>
      <w:r w:rsidR="00E05BF4" w:rsidRPr="006629F7">
        <w:rPr>
          <w:sz w:val="20"/>
          <w:szCs w:val="20"/>
        </w:rPr>
        <w:t>in tweets. L</w:t>
      </w:r>
      <w:proofErr w:type="spellStart"/>
      <w:r w:rsidR="00E05BF4" w:rsidRPr="006629F7">
        <w:rPr>
          <w:sz w:val="20"/>
          <w:szCs w:val="20"/>
          <w:lang w:val="en-GB"/>
        </w:rPr>
        <w:t>inguists</w:t>
      </w:r>
      <w:proofErr w:type="spellEnd"/>
      <w:r w:rsidR="00E05BF4" w:rsidRPr="006629F7">
        <w:rPr>
          <w:sz w:val="20"/>
          <w:szCs w:val="20"/>
          <w:lang w:val="en-GB"/>
        </w:rPr>
        <w:t xml:space="preserve"> stress that texts express political agency better when they resort to a verbal as opposed to a nominal style </w:t>
      </w:r>
      <w:r w:rsidR="00E05BF4" w:rsidRPr="006629F7">
        <w:rPr>
          <w:sz w:val="20"/>
          <w:szCs w:val="20"/>
          <w:lang w:val="en-GB"/>
        </w:rPr>
        <w:fldChar w:fldCharType="begin"/>
      </w:r>
      <w:r w:rsidR="00E05BF4" w:rsidRPr="006629F7">
        <w:rPr>
          <w:sz w:val="20"/>
          <w:szCs w:val="20"/>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E05BF4" w:rsidRPr="006629F7">
        <w:rPr>
          <w:sz w:val="20"/>
          <w:szCs w:val="20"/>
          <w:lang w:val="en-GB"/>
        </w:rPr>
        <w:fldChar w:fldCharType="separate"/>
      </w:r>
      <w:r w:rsidR="00E05BF4" w:rsidRPr="006629F7">
        <w:rPr>
          <w:sz w:val="20"/>
          <w:szCs w:val="20"/>
          <w:lang w:val="pt-PT"/>
        </w:rPr>
        <w:t xml:space="preserve">(Biber </w:t>
      </w:r>
      <w:r w:rsidR="00E05BF4" w:rsidRPr="006629F7">
        <w:rPr>
          <w:i/>
          <w:iCs/>
          <w:sz w:val="20"/>
          <w:szCs w:val="20"/>
          <w:lang w:val="pt-PT"/>
        </w:rPr>
        <w:t>et al.</w:t>
      </w:r>
      <w:r w:rsidR="00E05BF4" w:rsidRPr="006629F7">
        <w:rPr>
          <w:sz w:val="20"/>
          <w:szCs w:val="20"/>
          <w:lang w:val="pt-PT"/>
        </w:rPr>
        <w:t xml:space="preserve"> 1998: 65 pp. Thibault 1991)</w:t>
      </w:r>
      <w:r w:rsidR="00E05BF4" w:rsidRPr="006629F7">
        <w:rPr>
          <w:sz w:val="20"/>
          <w:szCs w:val="20"/>
        </w:rPr>
        <w:fldChar w:fldCharType="end"/>
      </w:r>
      <w:r w:rsidR="00E05BF4" w:rsidRPr="006629F7">
        <w:rPr>
          <w:sz w:val="20"/>
          <w:szCs w:val="20"/>
          <w:lang w:val="en-GB"/>
        </w:rPr>
        <w:t xml:space="preserve">. A nominal style, such as academic writing, uses many nouns and nominalizations, thus prioritizing abstract objects and process over action. A verbal </w:t>
      </w:r>
      <w:r w:rsidR="0041178D" w:rsidRPr="006629F7">
        <w:rPr>
          <w:sz w:val="20"/>
          <w:szCs w:val="20"/>
          <w:lang w:val="en-GB"/>
        </w:rPr>
        <w:t xml:space="preserve">style, such as conversations, </w:t>
      </w:r>
      <w:r w:rsidR="00E05BF4" w:rsidRPr="006629F7">
        <w:rPr>
          <w:sz w:val="20"/>
          <w:szCs w:val="20"/>
          <w:lang w:val="en-GB"/>
        </w:rPr>
        <w:t>uses many verbs, thereby clarifying who did what, and providing information on the temporal order of events and processes.</w:t>
      </w:r>
      <w:r w:rsidR="00064613" w:rsidRPr="006629F7">
        <w:rPr>
          <w:sz w:val="20"/>
          <w:szCs w:val="20"/>
          <w:lang w:val="en-GB"/>
        </w:rPr>
        <w:t xml:space="preserve"> </w:t>
      </w:r>
    </w:p>
    <w:p w14:paraId="0EEBA9E9" w14:textId="5214F590" w:rsidR="00B07309" w:rsidRPr="006629F7" w:rsidRDefault="00B07309" w:rsidP="00B07309">
      <w:pPr>
        <w:pStyle w:val="BodyText"/>
        <w:jc w:val="both"/>
        <w:rPr>
          <w:sz w:val="20"/>
          <w:szCs w:val="20"/>
        </w:rPr>
      </w:pPr>
      <w:r w:rsidRPr="006629F7">
        <w:rPr>
          <w:i/>
          <w:sz w:val="20"/>
          <w:szCs w:val="20"/>
        </w:rPr>
        <w:t>Multimedia message content</w:t>
      </w:r>
      <w:r w:rsidRPr="006629F7">
        <w:rPr>
          <w:sz w:val="20"/>
          <w:szCs w:val="20"/>
        </w:rPr>
        <w:t>: Beyond text, the Twitter platform allows</w:t>
      </w:r>
      <w:r w:rsidR="00A27A41" w:rsidRPr="006629F7">
        <w:rPr>
          <w:sz w:val="20"/>
          <w:szCs w:val="20"/>
        </w:rPr>
        <w:t xml:space="preserve"> </w:t>
      </w:r>
      <w:r w:rsidRPr="006629F7">
        <w:rPr>
          <w:sz w:val="20"/>
          <w:szCs w:val="20"/>
        </w:rPr>
        <w:t xml:space="preserve">various means of multimedia messaging. Symbols, pictures, or videos can transmit a large amount of information </w:t>
      </w:r>
      <w:r w:rsidRPr="006629F7">
        <w:rPr>
          <w:sz w:val="20"/>
          <w:szCs w:val="20"/>
        </w:rPr>
        <w:fldChar w:fldCharType="begin"/>
      </w:r>
      <w:r w:rsidR="000E7F85" w:rsidRPr="006629F7">
        <w:rPr>
          <w:sz w:val="20"/>
          <w:szCs w:val="20"/>
        </w:rPr>
        <w:instrText xml:space="preserve"> ADDIN ZOTERO_ITEM CSL_CITATION {"citationID":"FIvpiqTw","properties":{"formattedCitation":"(Tang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629F7">
        <w:rPr>
          <w:sz w:val="20"/>
          <w:szCs w:val="20"/>
        </w:rPr>
        <w:fldChar w:fldCharType="separate"/>
      </w:r>
      <w:r w:rsidRPr="006629F7">
        <w:rPr>
          <w:rFonts w:ascii="Cambria" w:hAnsi="Cambria"/>
          <w:sz w:val="20"/>
          <w:szCs w:val="20"/>
        </w:rPr>
        <w:t>(Tang &amp; Hew, 2018)</w:t>
      </w:r>
      <w:r w:rsidRPr="006629F7">
        <w:rPr>
          <w:sz w:val="20"/>
          <w:szCs w:val="20"/>
        </w:rPr>
        <w:fldChar w:fldCharType="end"/>
      </w:r>
      <w:r w:rsidRPr="006629F7">
        <w:rPr>
          <w:sz w:val="20"/>
          <w:szCs w:val="20"/>
        </w:rPr>
        <w:t xml:space="preserve">, rendering their usage also relevant for engaging political communication at least in principle. Thus, we initially extract and count the number of emoticons and other special symbols from the content of each tweet. We also store whether a Tweet contains embedded pictures and/or videos as well as links to external URLs from the entities URL field offered by the </w:t>
      </w:r>
      <w:proofErr w:type="spellStart"/>
      <w:r w:rsidRPr="006629F7">
        <w:rPr>
          <w:sz w:val="20"/>
          <w:szCs w:val="20"/>
        </w:rPr>
        <w:t>Twiter</w:t>
      </w:r>
      <w:proofErr w:type="spellEnd"/>
      <w:r w:rsidRPr="006629F7">
        <w:rPr>
          <w:sz w:val="20"/>
          <w:szCs w:val="20"/>
        </w:rPr>
        <w:t xml:space="preserve"> API.</w:t>
      </w:r>
    </w:p>
    <w:p w14:paraId="5FC97B52" w14:textId="4671DFA9" w:rsidR="00064613" w:rsidRPr="006629F7" w:rsidRDefault="00B07309" w:rsidP="00064613">
      <w:pPr>
        <w:pStyle w:val="BodyText"/>
        <w:jc w:val="both"/>
        <w:rPr>
          <w:sz w:val="20"/>
          <w:szCs w:val="20"/>
        </w:rPr>
      </w:pPr>
      <w:r w:rsidRPr="006629F7">
        <w:rPr>
          <w:i/>
          <w:iCs/>
          <w:sz w:val="20"/>
          <w:szCs w:val="20"/>
        </w:rPr>
        <w:t>Engagement of other users</w:t>
      </w:r>
      <w:r w:rsidRPr="006629F7">
        <w:rPr>
          <w:sz w:val="20"/>
          <w:szCs w:val="20"/>
        </w:rPr>
        <w:t xml:space="preserve">: Ultimately, we want to study in how far supranational messages result in user engagement. We focus on the main engagement tools that the platform offers. </w:t>
      </w:r>
      <w:r w:rsidR="004F452B" w:rsidRPr="006629F7">
        <w:rPr>
          <w:sz w:val="20"/>
          <w:szCs w:val="20"/>
        </w:rPr>
        <w:t>Favoriting</w:t>
      </w:r>
      <w:r w:rsidRPr="006629F7">
        <w:rPr>
          <w:sz w:val="20"/>
          <w:szCs w:val="20"/>
        </w:rPr>
        <w:t xml:space="preserve"> allow</w:t>
      </w:r>
      <w:r w:rsidR="004F452B" w:rsidRPr="006629F7">
        <w:rPr>
          <w:sz w:val="20"/>
          <w:szCs w:val="20"/>
        </w:rPr>
        <w:t>s</w:t>
      </w:r>
      <w:r w:rsidRPr="006629F7">
        <w:rPr>
          <w:sz w:val="20"/>
          <w:szCs w:val="20"/>
        </w:rPr>
        <w:t xml:space="preserve"> the user to express a favorable attitude towards a given message.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tweet, thus, we </w:t>
      </w:r>
      <w:r w:rsidR="000B51C3" w:rsidRPr="006629F7">
        <w:rPr>
          <w:sz w:val="20"/>
          <w:szCs w:val="20"/>
        </w:rPr>
        <w:t>utilize</w:t>
      </w:r>
      <w:r w:rsidRPr="006629F7">
        <w:rPr>
          <w:sz w:val="20"/>
          <w:szCs w:val="20"/>
        </w:rPr>
        <w:t xml:space="preserve"> the counts of </w:t>
      </w:r>
      <w:r w:rsidR="004F452B" w:rsidRPr="006629F7">
        <w:rPr>
          <w:sz w:val="20"/>
          <w:szCs w:val="20"/>
        </w:rPr>
        <w:t>favorites</w:t>
      </w:r>
      <w:r w:rsidRPr="006629F7">
        <w:rPr>
          <w:sz w:val="20"/>
          <w:szCs w:val="20"/>
        </w:rPr>
        <w:t xml:space="preserve">, retweets, </w:t>
      </w:r>
      <w:proofErr w:type="gramStart"/>
      <w:r w:rsidRPr="006629F7">
        <w:rPr>
          <w:sz w:val="20"/>
          <w:szCs w:val="20"/>
        </w:rPr>
        <w:t>quotes</w:t>
      </w:r>
      <w:proofErr w:type="gramEnd"/>
      <w:r w:rsidRPr="006629F7">
        <w:rPr>
          <w:sz w:val="20"/>
          <w:szCs w:val="20"/>
        </w:rPr>
        <w:t xml:space="preserve"> and replies </w:t>
      </w:r>
      <w:r w:rsidR="000B51C3" w:rsidRPr="006629F7">
        <w:rPr>
          <w:sz w:val="20"/>
          <w:szCs w:val="20"/>
        </w:rPr>
        <w:t xml:space="preserve">as </w:t>
      </w:r>
      <w:r w:rsidRPr="006629F7">
        <w:rPr>
          <w:sz w:val="20"/>
          <w:szCs w:val="20"/>
        </w:rPr>
        <w:t>supplied by the Twitter API</w:t>
      </w:r>
      <w:commentRangeStart w:id="3"/>
      <w:commentRangeStart w:id="4"/>
      <w:r w:rsidRPr="006629F7">
        <w:rPr>
          <w:sz w:val="20"/>
          <w:szCs w:val="20"/>
        </w:rPr>
        <w:t>.</w:t>
      </w:r>
      <w:commentRangeEnd w:id="3"/>
      <w:r w:rsidRPr="006629F7">
        <w:rPr>
          <w:rStyle w:val="CommentReference"/>
          <w:sz w:val="20"/>
          <w:szCs w:val="20"/>
        </w:rPr>
        <w:commentReference w:id="3"/>
      </w:r>
      <w:commentRangeEnd w:id="4"/>
      <w:r w:rsidRPr="006629F7">
        <w:rPr>
          <w:rStyle w:val="CommentReference"/>
          <w:sz w:val="20"/>
          <w:szCs w:val="20"/>
        </w:rPr>
        <w:commentReference w:id="4"/>
      </w:r>
      <w:r w:rsidRPr="006629F7">
        <w:rPr>
          <w:sz w:val="20"/>
          <w:szCs w:val="20"/>
        </w:rPr>
        <w:t xml:space="preserve"> </w:t>
      </w:r>
      <w:commentRangeStart w:id="5"/>
      <w:commentRangeStart w:id="6"/>
      <w:commentRangeEnd w:id="5"/>
      <w:r w:rsidRPr="006629F7">
        <w:rPr>
          <w:rStyle w:val="CommentReference"/>
          <w:sz w:val="20"/>
          <w:szCs w:val="20"/>
        </w:rPr>
        <w:commentReference w:id="5"/>
      </w:r>
      <w:commentRangeEnd w:id="6"/>
      <w:r w:rsidRPr="006629F7">
        <w:rPr>
          <w:rStyle w:val="CommentReference"/>
          <w:sz w:val="20"/>
          <w:szCs w:val="20"/>
        </w:rPr>
        <w:commentReference w:id="6"/>
      </w:r>
      <w:r w:rsidR="00064613" w:rsidRPr="006629F7">
        <w:rPr>
          <w:sz w:val="20"/>
          <w:szCs w:val="20"/>
          <w:lang w:val="en-GB"/>
        </w:rPr>
        <w:t xml:space="preserve"> Details of </w:t>
      </w:r>
      <w:r w:rsidR="00973506" w:rsidRPr="006629F7">
        <w:rPr>
          <w:sz w:val="20"/>
          <w:szCs w:val="20"/>
          <w:lang w:val="en-GB"/>
        </w:rPr>
        <w:t>these pre-processing</w:t>
      </w:r>
      <w:r w:rsidR="00064613" w:rsidRPr="006629F7">
        <w:rPr>
          <w:sz w:val="20"/>
          <w:szCs w:val="20"/>
          <w:lang w:val="en-GB"/>
        </w:rPr>
        <w:t xml:space="preserve"> and replication </w:t>
      </w:r>
      <w:r w:rsidR="00973506" w:rsidRPr="006629F7">
        <w:rPr>
          <w:sz w:val="20"/>
          <w:szCs w:val="20"/>
          <w:lang w:val="en-GB"/>
        </w:rPr>
        <w:t>scripts</w:t>
      </w:r>
      <w:r w:rsidR="00064613" w:rsidRPr="006629F7">
        <w:rPr>
          <w:sz w:val="20"/>
          <w:szCs w:val="20"/>
          <w:lang w:val="en-GB"/>
        </w:rPr>
        <w:t xml:space="preserve"> are presented in online appendix.</w:t>
      </w:r>
    </w:p>
    <w:p w14:paraId="57F77E6A" w14:textId="4F8CE3F0" w:rsidR="00B07309" w:rsidRPr="006629F7" w:rsidRDefault="00B07309" w:rsidP="00B07309">
      <w:pPr>
        <w:pStyle w:val="BodyText"/>
        <w:jc w:val="both"/>
        <w:rPr>
          <w:sz w:val="20"/>
          <w:szCs w:val="20"/>
        </w:rPr>
      </w:pPr>
    </w:p>
    <w:p w14:paraId="129ED100" w14:textId="77777777" w:rsidR="00B07309" w:rsidRPr="00B07309" w:rsidRDefault="00B07309" w:rsidP="00B07309">
      <w:pPr>
        <w:rPr>
          <w:lang w:val="en-US"/>
        </w:rPr>
      </w:pPr>
    </w:p>
    <w:sectPr w:rsidR="00B07309" w:rsidRPr="00B073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a Furkan Özdemir" w:date="2021-09-15T10:34:00Z" w:initials="SFÖ">
    <w:p w14:paraId="76D5F7F1" w14:textId="3D8EC84C" w:rsidR="00256D4C" w:rsidRDefault="00A55EA3">
      <w:pPr>
        <w:pStyle w:val="CommentText"/>
      </w:pPr>
      <w:r>
        <w:t xml:space="preserve">These justifications can benefit from your review Christian. </w:t>
      </w:r>
      <w:r w:rsidR="00256D4C">
        <w:t xml:space="preserve">I couldn’t find some of the works you suggested and </w:t>
      </w:r>
      <w:r w:rsidR="00256D4C">
        <w:rPr>
          <w:rStyle w:val="CommentReference"/>
        </w:rPr>
        <w:annotationRef/>
      </w:r>
      <w:r w:rsidR="00256D4C">
        <w:t xml:space="preserve">some of the works were in German. I don’t trust my German skills enough to </w:t>
      </w:r>
      <w:r>
        <w:t xml:space="preserve">cite an article. </w:t>
      </w:r>
    </w:p>
  </w:comment>
  <w:comment w:id="1" w:author="Christian Rauh" w:date="2021-06-03T11:12:00Z" w:initials="CR">
    <w:p w14:paraId="1351C096" w14:textId="77777777" w:rsidR="00B07309" w:rsidRDefault="00B07309" w:rsidP="00B07309">
      <w:pPr>
        <w:pStyle w:val="CommentText"/>
      </w:pPr>
      <w:r>
        <w:rPr>
          <w:rStyle w:val="CommentReference"/>
        </w:rPr>
        <w:annotationRef/>
      </w:r>
    </w:p>
  </w:comment>
  <w:comment w:id="2" w:author="Christian Rauh" w:date="2021-06-03T11:36:00Z" w:initials="CR">
    <w:p w14:paraId="4255F5E9" w14:textId="77777777" w:rsidR="00B07309" w:rsidRDefault="00B07309" w:rsidP="00B07309">
      <w:pPr>
        <w:pStyle w:val="CommentText"/>
      </w:pPr>
      <w:r>
        <w:rPr>
          <w:rStyle w:val="CommentReference"/>
        </w:rPr>
        <w:annotationRef/>
      </w:r>
      <w:r>
        <w:t xml:space="preserve">These things need to </w:t>
      </w:r>
      <w:proofErr w:type="gramStart"/>
      <w:r>
        <w:t>prepared</w:t>
      </w:r>
      <w:proofErr w:type="gramEnd"/>
      <w:r>
        <w:t xml:space="preserve"> mainly in section 2 above. Here it should be really the technical information only.</w:t>
      </w:r>
    </w:p>
    <w:p w14:paraId="76C7C70E" w14:textId="77777777" w:rsidR="00B07309" w:rsidRDefault="00B07309" w:rsidP="00B07309">
      <w:pPr>
        <w:pStyle w:val="CommentText"/>
      </w:pPr>
    </w:p>
    <w:p w14:paraId="692C5500" w14:textId="77777777" w:rsidR="00B07309" w:rsidRDefault="00B07309" w:rsidP="00B07309">
      <w:pPr>
        <w:pStyle w:val="CommentText"/>
      </w:pPr>
      <w:r>
        <w:t>I like the parts you have written already but think that the belong rather int section 2:</w:t>
      </w:r>
    </w:p>
    <w:p w14:paraId="64C5D703" w14:textId="77777777" w:rsidR="00B07309" w:rsidRDefault="00B07309" w:rsidP="00B07309">
      <w:pPr>
        <w:pStyle w:val="CommentText"/>
      </w:pPr>
    </w:p>
    <w:p w14:paraId="14D66B27" w14:textId="77777777" w:rsidR="00B07309" w:rsidRDefault="00B07309" w:rsidP="00B07309">
      <w:pPr>
        <w:pStyle w:val="BodyText"/>
        <w:jc w:val="both"/>
      </w:pPr>
      <w:r>
        <w:t xml:space="preserve">To examine the communication of quality we focus on three sets of indicators: message complexity, </w:t>
      </w:r>
      <w:proofErr w:type="gramStart"/>
      <w:r>
        <w:t>interactivity</w:t>
      </w:r>
      <w:proofErr w:type="gramEnd"/>
      <w:r>
        <w:t xml:space="preserve">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 xml:space="preserve">(Bischof &amp; </w:t>
      </w:r>
      <w:proofErr w:type="spellStart"/>
      <w:r w:rsidRPr="0004279C">
        <w:rPr>
          <w:rFonts w:ascii="Cambria" w:hAnsi="Cambria"/>
        </w:rPr>
        <w:t>Senninger</w:t>
      </w:r>
      <w:proofErr w:type="spellEnd"/>
      <w:r w:rsidRPr="0004279C">
        <w:rPr>
          <w:rFonts w:ascii="Cambria" w:hAnsi="Cambria"/>
        </w:rPr>
        <w:t xml:space="preserve">, 2018; </w:t>
      </w:r>
      <w:proofErr w:type="spellStart"/>
      <w:r w:rsidRPr="0004279C">
        <w:rPr>
          <w:rFonts w:ascii="Cambria" w:hAnsi="Cambria"/>
        </w:rPr>
        <w:t>Eveland</w:t>
      </w:r>
      <w:proofErr w:type="spellEnd"/>
      <w:r w:rsidRPr="0004279C">
        <w:rPr>
          <w:rFonts w:ascii="Cambria" w:hAnsi="Cambria"/>
        </w:rPr>
        <w:t xml:space="preserve"> et al., 2004; </w:t>
      </w:r>
      <w:proofErr w:type="spellStart"/>
      <w:r w:rsidRPr="0004279C">
        <w:rPr>
          <w:rFonts w:ascii="Cambria" w:hAnsi="Cambria"/>
        </w:rPr>
        <w:t>Spirling</w:t>
      </w:r>
      <w:proofErr w:type="spellEnd"/>
      <w:r w:rsidRPr="0004279C">
        <w:rPr>
          <w:rFonts w:ascii="Cambria" w:hAnsi="Cambria"/>
        </w:rPr>
        <w:t xml:space="preserve">, 2015; </w:t>
      </w:r>
      <w:proofErr w:type="spellStart"/>
      <w:r w:rsidRPr="0004279C">
        <w:rPr>
          <w:rFonts w:ascii="Cambria" w:hAnsi="Cambria"/>
        </w:rPr>
        <w:t>Tolochko</w:t>
      </w:r>
      <w:proofErr w:type="spellEnd"/>
      <w:r w:rsidRPr="0004279C">
        <w:rPr>
          <w:rFonts w:ascii="Cambria" w:hAnsi="Cambria"/>
        </w:rPr>
        <w:t xml:space="preserve"> et al., 2019)</w:t>
      </w:r>
      <w:r>
        <w:fldChar w:fldCharType="end"/>
      </w:r>
      <w:r>
        <w:t>. Semantic complexity of a message refers to the difficulty of comprehension of the words and phrases in the message (</w:t>
      </w:r>
      <w:proofErr w:type="spellStart"/>
      <w:r>
        <w:t>eg</w:t>
      </w:r>
      <w:proofErr w:type="spellEnd"/>
      <w:r>
        <w:t>: relevant vs pertinent). Syntactic complexity, on the other hand, refers to the difficulty of the structural characteristics of texts such as long noun phrases, and clauses (</w:t>
      </w:r>
      <w:proofErr w:type="spellStart"/>
      <w:r>
        <w:t>eg</w:t>
      </w:r>
      <w:proofErr w:type="spellEnd"/>
      <w:r>
        <w:t>: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00D98193" w14:textId="77777777" w:rsidR="00B07309" w:rsidRDefault="00B07309" w:rsidP="00B07309">
      <w:pPr>
        <w:pStyle w:val="CommentText"/>
      </w:pPr>
    </w:p>
  </w:comment>
  <w:comment w:id="3" w:author="Christian Rauh" w:date="2021-06-03T13:07:00Z" w:initials="CR">
    <w:p w14:paraId="247EB8AF" w14:textId="77777777" w:rsidR="00B07309" w:rsidRDefault="00B07309" w:rsidP="00B07309">
      <w:pPr>
        <w:pStyle w:val="CommentText"/>
      </w:pPr>
      <w:r>
        <w:rPr>
          <w:rStyle w:val="CommentReference"/>
        </w:rPr>
        <w:annotationRef/>
      </w:r>
      <w:r>
        <w:t xml:space="preserve">Normalization by follower counts can either be discussed </w:t>
      </w:r>
      <w:proofErr w:type="spellStart"/>
      <w:r>
        <w:t>hre</w:t>
      </w:r>
      <w:proofErr w:type="spellEnd"/>
      <w:r>
        <w:t xml:space="preserve"> or in the analysis below …</w:t>
      </w:r>
    </w:p>
  </w:comment>
  <w:comment w:id="4" w:author="Sina Furkan Özdemir" w:date="2021-06-09T09:56:00Z" w:initials="SFÖ">
    <w:p w14:paraId="2C7FE280" w14:textId="77777777" w:rsidR="00B07309" w:rsidRDefault="00B07309" w:rsidP="00B07309">
      <w:pPr>
        <w:pStyle w:val="CommentText"/>
      </w:pPr>
      <w:r>
        <w:rPr>
          <w:rStyle w:val="CommentReference"/>
        </w:rPr>
        <w:annotationRef/>
      </w:r>
      <w:r>
        <w:rPr>
          <w:lang w:val="tr-TR"/>
        </w:rPr>
        <w:t>Here seems like the better options since we are already talking about indicators and normalization is part of the indicator.</w:t>
      </w:r>
    </w:p>
  </w:comment>
  <w:comment w:id="5" w:author="Christian Rauh" w:date="2021-06-03T13:08:00Z" w:initials="CR">
    <w:p w14:paraId="41210292" w14:textId="77777777" w:rsidR="00B07309" w:rsidRDefault="00B07309" w:rsidP="00B07309">
      <w:pPr>
        <w:pStyle w:val="CommentText"/>
      </w:pPr>
      <w:r>
        <w:rPr>
          <w:rStyle w:val="CommentReference"/>
        </w:rPr>
        <w:annotationRef/>
      </w:r>
      <w:r>
        <w:t>I would use these text bits in the discussion of the results below:</w:t>
      </w:r>
    </w:p>
    <w:p w14:paraId="2A6C6C1D" w14:textId="77777777" w:rsidR="00B07309" w:rsidRDefault="00B07309" w:rsidP="00B07309">
      <w:pPr>
        <w:pStyle w:val="CommentText"/>
      </w:pPr>
    </w:p>
    <w:p w14:paraId="1C7C5C8B" w14:textId="77777777" w:rsidR="00B07309" w:rsidRDefault="00B07309" w:rsidP="00B07309">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69F70953" w14:textId="77777777" w:rsidR="00B07309" w:rsidRDefault="00B07309" w:rsidP="00B07309">
      <w:pPr>
        <w:pStyle w:val="CommentText"/>
      </w:pPr>
    </w:p>
  </w:comment>
  <w:comment w:id="6" w:author="Sina Furkan Özdemir" w:date="2021-06-09T09:57:00Z" w:initials="SFÖ">
    <w:p w14:paraId="452DA445" w14:textId="77777777" w:rsidR="00B07309" w:rsidRDefault="00B07309" w:rsidP="00B07309">
      <w:pPr>
        <w:pStyle w:val="CommentText"/>
      </w:pPr>
      <w:r>
        <w:rPr>
          <w:rStyle w:val="CommentReference"/>
        </w:rPr>
        <w:annotationRef/>
      </w:r>
      <w:r>
        <w:rPr>
          <w:lang w:val="tr-TR"/>
        </w:rPr>
        <w:t xml:space="preserve">Well, these would certainly come up when we discuss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5F7F1" w15:done="0"/>
  <w15:commentEx w15:paraId="1351C096" w15:done="1"/>
  <w15:commentEx w15:paraId="00D98193" w15:done="0"/>
  <w15:commentEx w15:paraId="247EB8AF" w15:done="0"/>
  <w15:commentEx w15:paraId="2C7FE280" w15:paraIdParent="247EB8AF" w15:done="0"/>
  <w15:commentEx w15:paraId="69F70953" w15:done="1"/>
  <w15:commentEx w15:paraId="452DA445" w15:paraIdParent="69F709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4AA1" w16cex:dateUtc="2021-09-15T08:34:00Z"/>
  <w16cex:commentExtensible w16cex:durableId="24EC39F3" w16cex:dateUtc="2021-06-03T09:12:00Z"/>
  <w16cex:commentExtensible w16cex:durableId="24EC39F2" w16cex:dateUtc="2021-06-03T09:36:00Z"/>
  <w16cex:commentExtensible w16cex:durableId="24EC39EC" w16cex:dateUtc="2021-06-03T11:07:00Z"/>
  <w16cex:commentExtensible w16cex:durableId="24EC39EB" w16cex:dateUtc="2021-06-09T07:56:00Z"/>
  <w16cex:commentExtensible w16cex:durableId="24EC39EA" w16cex:dateUtc="2021-06-03T11:08:00Z"/>
  <w16cex:commentExtensible w16cex:durableId="24EC39E9" w16cex:dateUtc="2021-06-09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5F7F1" w16cid:durableId="24EC4AA1"/>
  <w16cid:commentId w16cid:paraId="1351C096" w16cid:durableId="24EC39F3"/>
  <w16cid:commentId w16cid:paraId="00D98193" w16cid:durableId="24EC39F2"/>
  <w16cid:commentId w16cid:paraId="247EB8AF" w16cid:durableId="24EC39EC"/>
  <w16cid:commentId w16cid:paraId="2C7FE280" w16cid:durableId="24EC39EB"/>
  <w16cid:commentId w16cid:paraId="69F70953" w16cid:durableId="24EC39EA"/>
  <w16cid:commentId w16cid:paraId="452DA445" w16cid:durableId="24EC3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AC0F" w14:textId="77777777" w:rsidR="00BD47CC" w:rsidRDefault="00BD47CC" w:rsidP="00900C53">
      <w:pPr>
        <w:spacing w:after="0" w:line="240" w:lineRule="auto"/>
      </w:pPr>
      <w:r>
        <w:separator/>
      </w:r>
    </w:p>
  </w:endnote>
  <w:endnote w:type="continuationSeparator" w:id="0">
    <w:p w14:paraId="25D63D66" w14:textId="77777777" w:rsidR="00BD47CC" w:rsidRDefault="00BD47CC" w:rsidP="0090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C495B" w14:textId="77777777" w:rsidR="00BD47CC" w:rsidRDefault="00BD47CC" w:rsidP="00900C53">
      <w:pPr>
        <w:spacing w:after="0" w:line="240" w:lineRule="auto"/>
      </w:pPr>
      <w:r>
        <w:separator/>
      </w:r>
    </w:p>
  </w:footnote>
  <w:footnote w:type="continuationSeparator" w:id="0">
    <w:p w14:paraId="563FA937" w14:textId="77777777" w:rsidR="00BD47CC" w:rsidRDefault="00BD47CC" w:rsidP="00900C5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D3"/>
    <w:rsid w:val="00044CDF"/>
    <w:rsid w:val="00064613"/>
    <w:rsid w:val="000767AD"/>
    <w:rsid w:val="00095C88"/>
    <w:rsid w:val="00097725"/>
    <w:rsid w:val="000B51C3"/>
    <w:rsid w:val="000E7F85"/>
    <w:rsid w:val="00104FDB"/>
    <w:rsid w:val="001112B4"/>
    <w:rsid w:val="00144C09"/>
    <w:rsid w:val="001A075B"/>
    <w:rsid w:val="001E2596"/>
    <w:rsid w:val="002214C2"/>
    <w:rsid w:val="0022164A"/>
    <w:rsid w:val="00244EFC"/>
    <w:rsid w:val="00256D4C"/>
    <w:rsid w:val="00280E77"/>
    <w:rsid w:val="00294155"/>
    <w:rsid w:val="002B4E3E"/>
    <w:rsid w:val="002D7993"/>
    <w:rsid w:val="00320A55"/>
    <w:rsid w:val="00326D8F"/>
    <w:rsid w:val="003342E5"/>
    <w:rsid w:val="00340282"/>
    <w:rsid w:val="00350511"/>
    <w:rsid w:val="00365D16"/>
    <w:rsid w:val="00376EE6"/>
    <w:rsid w:val="003D59CD"/>
    <w:rsid w:val="003E370A"/>
    <w:rsid w:val="003F094A"/>
    <w:rsid w:val="0041178D"/>
    <w:rsid w:val="0041550E"/>
    <w:rsid w:val="0042225E"/>
    <w:rsid w:val="004304B1"/>
    <w:rsid w:val="00465F51"/>
    <w:rsid w:val="004A1F89"/>
    <w:rsid w:val="004B6A3D"/>
    <w:rsid w:val="004C084D"/>
    <w:rsid w:val="004F1EB9"/>
    <w:rsid w:val="004F452B"/>
    <w:rsid w:val="004F5C56"/>
    <w:rsid w:val="00513D3B"/>
    <w:rsid w:val="00522262"/>
    <w:rsid w:val="00523F65"/>
    <w:rsid w:val="00535FD3"/>
    <w:rsid w:val="005462E0"/>
    <w:rsid w:val="00554EC5"/>
    <w:rsid w:val="00572A6C"/>
    <w:rsid w:val="005753D4"/>
    <w:rsid w:val="006541A5"/>
    <w:rsid w:val="006629F7"/>
    <w:rsid w:val="0068199D"/>
    <w:rsid w:val="0069402C"/>
    <w:rsid w:val="006A3EA1"/>
    <w:rsid w:val="006C7F5A"/>
    <w:rsid w:val="00700442"/>
    <w:rsid w:val="007115B5"/>
    <w:rsid w:val="00724D42"/>
    <w:rsid w:val="00762CAB"/>
    <w:rsid w:val="00775081"/>
    <w:rsid w:val="008316A9"/>
    <w:rsid w:val="00832A33"/>
    <w:rsid w:val="00874320"/>
    <w:rsid w:val="00900C53"/>
    <w:rsid w:val="00922E0A"/>
    <w:rsid w:val="009571D3"/>
    <w:rsid w:val="00973506"/>
    <w:rsid w:val="009902FF"/>
    <w:rsid w:val="009C2A92"/>
    <w:rsid w:val="009D13AD"/>
    <w:rsid w:val="009F6DDE"/>
    <w:rsid w:val="00A27A41"/>
    <w:rsid w:val="00A55EA3"/>
    <w:rsid w:val="00A61CE1"/>
    <w:rsid w:val="00A80D28"/>
    <w:rsid w:val="00A80E7F"/>
    <w:rsid w:val="00AA332F"/>
    <w:rsid w:val="00AB2CD6"/>
    <w:rsid w:val="00B07309"/>
    <w:rsid w:val="00B2467A"/>
    <w:rsid w:val="00B733AF"/>
    <w:rsid w:val="00B7492A"/>
    <w:rsid w:val="00B90A96"/>
    <w:rsid w:val="00BB54B8"/>
    <w:rsid w:val="00BD2883"/>
    <w:rsid w:val="00BD47CC"/>
    <w:rsid w:val="00BD5E14"/>
    <w:rsid w:val="00C0418F"/>
    <w:rsid w:val="00C15745"/>
    <w:rsid w:val="00C35885"/>
    <w:rsid w:val="00C3752F"/>
    <w:rsid w:val="00C4465B"/>
    <w:rsid w:val="00C505CF"/>
    <w:rsid w:val="00C6753C"/>
    <w:rsid w:val="00C8613D"/>
    <w:rsid w:val="00CC43E9"/>
    <w:rsid w:val="00CD1768"/>
    <w:rsid w:val="00D111F2"/>
    <w:rsid w:val="00D60BD5"/>
    <w:rsid w:val="00D95C99"/>
    <w:rsid w:val="00DA7269"/>
    <w:rsid w:val="00DD05F2"/>
    <w:rsid w:val="00DF113D"/>
    <w:rsid w:val="00E05BF4"/>
    <w:rsid w:val="00E9444E"/>
    <w:rsid w:val="00EB437E"/>
    <w:rsid w:val="00EE1FCD"/>
    <w:rsid w:val="00EF388B"/>
    <w:rsid w:val="00EF4B23"/>
    <w:rsid w:val="00F04352"/>
    <w:rsid w:val="00F458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50E3C8"/>
  <w15:chartTrackingRefBased/>
  <w15:docId w15:val="{D464F163-2791-4C67-B150-A3D6C085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0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F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5F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00C5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qFormat/>
    <w:rsid w:val="00900C53"/>
    <w:pPr>
      <w:spacing w:before="180" w:after="180" w:line="240" w:lineRule="auto"/>
    </w:pPr>
    <w:rPr>
      <w:sz w:val="24"/>
      <w:szCs w:val="24"/>
      <w:lang w:val="en-US"/>
    </w:rPr>
  </w:style>
  <w:style w:type="character" w:customStyle="1" w:styleId="BodyTextChar">
    <w:name w:val="Body Text Char"/>
    <w:basedOn w:val="DefaultParagraphFont"/>
    <w:link w:val="BodyText"/>
    <w:rsid w:val="00900C53"/>
    <w:rPr>
      <w:sz w:val="24"/>
      <w:szCs w:val="24"/>
      <w:lang w:val="en-US"/>
    </w:rPr>
  </w:style>
  <w:style w:type="paragraph" w:customStyle="1" w:styleId="FirstParagraph">
    <w:name w:val="First Paragraph"/>
    <w:basedOn w:val="BodyText"/>
    <w:next w:val="BodyText"/>
    <w:qFormat/>
    <w:rsid w:val="00900C53"/>
  </w:style>
  <w:style w:type="character" w:styleId="CommentReference">
    <w:name w:val="annotation reference"/>
    <w:basedOn w:val="DefaultParagraphFont"/>
    <w:semiHidden/>
    <w:unhideWhenUsed/>
    <w:rsid w:val="00900C53"/>
    <w:rPr>
      <w:sz w:val="16"/>
      <w:szCs w:val="16"/>
    </w:rPr>
  </w:style>
  <w:style w:type="paragraph" w:styleId="CommentText">
    <w:name w:val="annotation text"/>
    <w:basedOn w:val="Normal"/>
    <w:link w:val="CommentTextChar"/>
    <w:unhideWhenUsed/>
    <w:rsid w:val="00900C53"/>
    <w:pPr>
      <w:spacing w:after="200" w:line="240" w:lineRule="auto"/>
    </w:pPr>
    <w:rPr>
      <w:sz w:val="20"/>
      <w:szCs w:val="20"/>
      <w:lang w:val="en-US"/>
    </w:rPr>
  </w:style>
  <w:style w:type="character" w:customStyle="1" w:styleId="CommentTextChar">
    <w:name w:val="Comment Text Char"/>
    <w:basedOn w:val="DefaultParagraphFont"/>
    <w:link w:val="CommentText"/>
    <w:rsid w:val="00900C53"/>
    <w:rPr>
      <w:sz w:val="20"/>
      <w:szCs w:val="20"/>
      <w:lang w:val="en-US"/>
    </w:rPr>
  </w:style>
  <w:style w:type="character" w:customStyle="1" w:styleId="css-901oao">
    <w:name w:val="css-901oao"/>
    <w:basedOn w:val="DefaultParagraphFont"/>
    <w:rsid w:val="00900C53"/>
  </w:style>
  <w:style w:type="paragraph" w:styleId="FootnoteText">
    <w:name w:val="footnote text"/>
    <w:basedOn w:val="Normal"/>
    <w:link w:val="FootnoteTextChar"/>
    <w:uiPriority w:val="99"/>
    <w:semiHidden/>
    <w:unhideWhenUsed/>
    <w:rsid w:val="004F5C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C56"/>
    <w:rPr>
      <w:sz w:val="20"/>
      <w:szCs w:val="20"/>
    </w:rPr>
  </w:style>
  <w:style w:type="character" w:styleId="FootnoteReference">
    <w:name w:val="footnote reference"/>
    <w:unhideWhenUsed/>
    <w:rsid w:val="004F5C56"/>
    <w:rPr>
      <w:vertAlign w:val="superscript"/>
    </w:rPr>
  </w:style>
  <w:style w:type="paragraph" w:styleId="CommentSubject">
    <w:name w:val="annotation subject"/>
    <w:basedOn w:val="CommentText"/>
    <w:next w:val="CommentText"/>
    <w:link w:val="CommentSubjectChar"/>
    <w:uiPriority w:val="99"/>
    <w:semiHidden/>
    <w:unhideWhenUsed/>
    <w:rsid w:val="00256D4C"/>
    <w:pPr>
      <w:spacing w:after="160"/>
    </w:pPr>
    <w:rPr>
      <w:b/>
      <w:bCs/>
      <w:lang w:val="nb-NO"/>
    </w:rPr>
  </w:style>
  <w:style w:type="character" w:customStyle="1" w:styleId="CommentSubjectChar">
    <w:name w:val="Comment Subject Char"/>
    <w:basedOn w:val="CommentTextChar"/>
    <w:link w:val="CommentSubject"/>
    <w:uiPriority w:val="99"/>
    <w:semiHidden/>
    <w:rsid w:val="00256D4C"/>
    <w:rPr>
      <w:b/>
      <w:bCs/>
      <w:sz w:val="20"/>
      <w:szCs w:val="20"/>
      <w:lang w:val="en-US"/>
    </w:rPr>
  </w:style>
  <w:style w:type="paragraph" w:customStyle="1" w:styleId="Compact">
    <w:name w:val="Compact"/>
    <w:basedOn w:val="BodyText"/>
    <w:qFormat/>
    <w:rsid w:val="00775081"/>
    <w:pPr>
      <w:spacing w:before="36" w:after="36"/>
    </w:pPr>
  </w:style>
  <w:style w:type="table" w:customStyle="1" w:styleId="Table">
    <w:name w:val="Table"/>
    <w:semiHidden/>
    <w:qFormat/>
    <w:rsid w:val="00775081"/>
    <w:pPr>
      <w:spacing w:after="200" w:line="240" w:lineRule="auto"/>
    </w:pPr>
    <w:rPr>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Caption">
    <w:name w:val="caption"/>
    <w:basedOn w:val="Normal"/>
    <w:next w:val="Normal"/>
    <w:uiPriority w:val="35"/>
    <w:unhideWhenUsed/>
    <w:qFormat/>
    <w:rsid w:val="007750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87349">
      <w:bodyDiv w:val="1"/>
      <w:marLeft w:val="0"/>
      <w:marRight w:val="0"/>
      <w:marTop w:val="0"/>
      <w:marBottom w:val="0"/>
      <w:divBdr>
        <w:top w:val="none" w:sz="0" w:space="0" w:color="auto"/>
        <w:left w:val="none" w:sz="0" w:space="0" w:color="auto"/>
        <w:bottom w:val="none" w:sz="0" w:space="0" w:color="auto"/>
        <w:right w:val="none" w:sz="0" w:space="0" w:color="auto"/>
      </w:divBdr>
    </w:div>
    <w:div w:id="68347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7727</Words>
  <Characters>40958</Characters>
  <Application>Microsoft Office Word</Application>
  <DocSecurity>0</DocSecurity>
  <Lines>341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106</cp:revision>
  <dcterms:created xsi:type="dcterms:W3CDTF">2021-09-14T12:38:00Z</dcterms:created>
  <dcterms:modified xsi:type="dcterms:W3CDTF">2021-09-20T09:33:00Z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id="z4CK84fh"/&gt;&lt;style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