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0C8A093A" w:rsidR="000756C9" w:rsidRPr="00A341E4" w:rsidRDefault="00CB0832" w:rsidP="00954DDD">
      <w:pPr>
        <w:spacing w:after="0" w:line="240" w:lineRule="auto"/>
        <w:rPr>
          <w:b/>
          <w:sz w:val="32"/>
          <w:szCs w:val="20"/>
          <w:lang w:val="en-GB"/>
        </w:rPr>
      </w:pPr>
      <w:r w:rsidRPr="00A341E4">
        <w:rPr>
          <w:b/>
          <w:sz w:val="32"/>
          <w:szCs w:val="20"/>
          <w:lang w:val="en-GB"/>
        </w:rPr>
        <w:t xml:space="preserve">A bird’s eye view: How supranational EU actors use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proofErr w:type="spellStart"/>
      <w:r w:rsidRPr="00A341E4">
        <w:rPr>
          <w:lang w:val="en-GB"/>
        </w:rPr>
        <w:t>Sina</w:t>
      </w:r>
      <w:proofErr w:type="spellEnd"/>
      <w:r w:rsidRPr="00A341E4">
        <w:rPr>
          <w:lang w:val="en-GB"/>
        </w:rPr>
        <w:t xml:space="preserve">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p w14:paraId="258F6CA5" w14:textId="53911199"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7EE4065"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5E60DF7"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twitter users. We show that supranational Twitter activity has grown markedly</w:t>
      </w:r>
      <w:r w:rsidR="00BC6502" w:rsidRPr="00A341E4">
        <w:rPr>
          <w:sz w:val="20"/>
          <w:lang w:val="en-GB"/>
        </w:rPr>
        <w:t xml:space="preserve">, relies strongly on the multimedia features the platform offers, </w:t>
      </w:r>
      <w:proofErr w:type="gramStart"/>
      <w:r w:rsidR="00BC6502" w:rsidRPr="00A341E4">
        <w:rPr>
          <w:sz w:val="20"/>
          <w:lang w:val="en-GB"/>
        </w:rPr>
        <w:t xml:space="preserve">and </w:t>
      </w:r>
      <w:r w:rsidR="00B85972" w:rsidRPr="00A341E4">
        <w:rPr>
          <w:sz w:val="20"/>
          <w:lang w:val="en-GB"/>
        </w:rPr>
        <w:t>also</w:t>
      </w:r>
      <w:proofErr w:type="gramEnd"/>
      <w:r w:rsidR="00B85972" w:rsidRPr="00A341E4">
        <w:rPr>
          <w:sz w:val="20"/>
          <w:lang w:val="en-GB"/>
        </w:rPr>
        <w:t xml:space="preserve"> outperforms</w:t>
      </w:r>
      <w:r w:rsidR="00BC6502" w:rsidRPr="00A341E4">
        <w:rPr>
          <w:sz w:val="20"/>
          <w:lang w:val="en-GB"/>
        </w:rPr>
        <w:t xml:space="preserve"> 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commentRangeStart w:id="0"/>
      <w:commentRangeEnd w:id="0"/>
      <w:r w:rsidR="00BC6502" w:rsidRPr="00A341E4">
        <w:rPr>
          <w:rStyle w:val="Kommentarzeichen"/>
          <w:lang w:val="en-GB"/>
        </w:rPr>
        <w:commentReference w:id="0"/>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text analysis; </w:t>
      </w:r>
      <w:commentRangeStart w:id="1"/>
      <w:r w:rsidRPr="00A341E4">
        <w:rPr>
          <w:sz w:val="20"/>
          <w:lang w:val="en-GB"/>
        </w:rPr>
        <w:t>...</w:t>
      </w:r>
      <w:commentRangeEnd w:id="1"/>
      <w:r w:rsidRPr="00A341E4">
        <w:rPr>
          <w:rStyle w:val="Kommentarzeichen"/>
          <w:lang w:val="en-GB"/>
        </w:rPr>
        <w:commentReference w:id="1"/>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29BF53DF"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571BBD">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2021a)","noteIndex":0},"citationItems":[{"id":"PzvmnhM3/t4yhjzv6","uris":["http://zotero.org/users/5392384/items/9VH45GWL"],"uri":["http://zotero.org/users/5392384/items/9VH45GWL"],"itemData":{"id":"iqQo19HO/4sjfr07k","type":"article-journal","abstract":"Abstract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A341E4">
        <w:rPr>
          <w:sz w:val="20"/>
          <w:szCs w:val="18"/>
          <w:lang w:val="en-GB"/>
        </w:rPr>
        <w:t xml:space="preserve">In such controversial debates, especially </w:t>
      </w:r>
      <w:r w:rsidR="00457108" w:rsidRPr="00A341E4">
        <w:rPr>
          <w:sz w:val="20"/>
          <w:szCs w:val="18"/>
          <w:lang w:val="en-GB"/>
        </w:rPr>
        <w:t>the EU’s</w:t>
      </w:r>
      <w:r w:rsidR="00C43FA7" w:rsidRPr="00A341E4">
        <w:rPr>
          <w:sz w:val="20"/>
          <w:szCs w:val="18"/>
          <w:lang w:val="en-GB"/>
        </w:rPr>
        <w:t xml:space="preserve"> rather detached supranational institutions are frequent</w:t>
      </w:r>
      <w:r w:rsidR="00701E9C" w:rsidRPr="00A341E4">
        <w:rPr>
          <w:sz w:val="20"/>
          <w:szCs w:val="18"/>
          <w:lang w:val="en-GB"/>
        </w:rPr>
        <w:t>ly</w:t>
      </w:r>
      <w:r w:rsidR="00C43FA7" w:rsidRPr="00A341E4">
        <w:rPr>
          <w:sz w:val="20"/>
          <w:szCs w:val="18"/>
          <w:lang w:val="en-GB"/>
        </w:rPr>
        <w:t xml:space="preserve"> addresse</w:t>
      </w:r>
      <w:r w:rsidR="00701E9C" w:rsidRPr="00A341E4">
        <w:rPr>
          <w:sz w:val="20"/>
          <w:szCs w:val="18"/>
          <w:lang w:val="en-GB"/>
        </w:rPr>
        <w:t>d</w:t>
      </w:r>
      <w:r w:rsidR="00C43FA7" w:rsidRPr="00A341E4">
        <w:rPr>
          <w:sz w:val="20"/>
          <w:szCs w:val="18"/>
          <w:lang w:val="en-GB"/>
        </w:rPr>
        <w:t xml:space="preserve"> </w:t>
      </w:r>
      <w:r w:rsidR="005746CF" w:rsidRPr="00A341E4">
        <w:rPr>
          <w:sz w:val="20"/>
          <w:szCs w:val="18"/>
          <w:lang w:val="en-GB"/>
        </w:rPr>
        <w:t>and</w:t>
      </w:r>
      <w:r w:rsidR="00C43FA7" w:rsidRPr="00A341E4">
        <w:rPr>
          <w:sz w:val="20"/>
          <w:szCs w:val="18"/>
          <w:lang w:val="en-GB"/>
        </w:rPr>
        <w:t xml:space="preserve"> </w:t>
      </w:r>
      <w:r w:rsidR="00701E9C" w:rsidRPr="00A341E4">
        <w:rPr>
          <w:sz w:val="20"/>
          <w:szCs w:val="18"/>
          <w:lang w:val="en-GB"/>
        </w:rPr>
        <w:t xml:space="preserve">become </w:t>
      </w:r>
      <w:r w:rsidR="00C43FA7" w:rsidRPr="00A341E4">
        <w:rPr>
          <w:sz w:val="20"/>
          <w:szCs w:val="18"/>
          <w:lang w:val="en-GB"/>
        </w:rPr>
        <w:t xml:space="preserve">targets </w:t>
      </w:r>
      <w:r w:rsidR="005746CF" w:rsidRPr="00A341E4">
        <w:rPr>
          <w:sz w:val="20"/>
          <w:szCs w:val="18"/>
          <w:lang w:val="en-GB"/>
        </w:rPr>
        <w:t xml:space="preserve">of </w:t>
      </w:r>
      <w:r w:rsidR="00C43FA7" w:rsidRPr="00A341E4">
        <w:rPr>
          <w:sz w:val="20"/>
          <w:szCs w:val="18"/>
          <w:lang w:val="en-GB"/>
        </w:rPr>
        <w:t xml:space="preserve">blame-shifting </w:t>
      </w:r>
      <w:r w:rsidR="00C43FA7" w:rsidRPr="00A341E4">
        <w:rPr>
          <w:sz w:val="20"/>
          <w:szCs w:val="18"/>
          <w:lang w:val="en-GB"/>
        </w:rPr>
        <w:fldChar w:fldCharType="begin"/>
      </w:r>
      <w:r w:rsidR="00C43FA7" w:rsidRPr="00A341E4">
        <w:rPr>
          <w:sz w:val="20"/>
          <w:szCs w:val="18"/>
          <w:lang w:val="en-GB"/>
        </w:rPr>
        <w: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 xml:space="preserve">(Gerhards </w:t>
      </w:r>
      <w:r w:rsidR="00C43FA7" w:rsidRPr="00A341E4">
        <w:rPr>
          <w:rFonts w:cs="Calibri"/>
          <w:i/>
          <w:iCs/>
          <w:sz w:val="20"/>
          <w:szCs w:val="24"/>
          <w:lang w:val="en-GB"/>
        </w:rPr>
        <w:t>et al.</w:t>
      </w:r>
      <w:r w:rsidR="00C43FA7" w:rsidRPr="00A341E4">
        <w:rPr>
          <w:rFonts w:cs="Calibri"/>
          <w:sz w:val="20"/>
          <w:szCs w:val="24"/>
          <w:lang w:val="en-GB"/>
        </w:rPr>
        <w:t xml:space="preserve"> 2009)</w:t>
      </w:r>
      <w:r w:rsidR="00C43FA7" w:rsidRPr="00A341E4">
        <w:rPr>
          <w:sz w:val="20"/>
          <w:szCs w:val="18"/>
          <w:lang w:val="en-GB"/>
        </w:rPr>
        <w:fldChar w:fldCharType="end"/>
      </w:r>
      <w:commentRangeStart w:id="2"/>
      <w:r w:rsidR="00C43FA7" w:rsidRPr="00A341E4">
        <w:rPr>
          <w:sz w:val="20"/>
          <w:szCs w:val="18"/>
          <w:lang w:val="en-GB"/>
        </w:rPr>
        <w:t>.</w:t>
      </w:r>
      <w:commentRangeEnd w:id="2"/>
      <w:r w:rsidR="005746CF" w:rsidRPr="00A341E4">
        <w:rPr>
          <w:rStyle w:val="Kommentarzeichen"/>
          <w:lang w:val="en-GB"/>
        </w:rPr>
        <w:commentReference w:id="2"/>
      </w:r>
    </w:p>
    <w:p w14:paraId="6AE6D3AA" w14:textId="078F1E4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091B45" w:rsidRPr="00A341E4">
        <w:rPr>
          <w:sz w:val="20"/>
          <w:szCs w:val="18"/>
          <w:lang w:val="en-GB"/>
        </w:rPr>
        <w:t xml:space="preserve"> </w:t>
      </w:r>
      <w:r w:rsidR="007319FF" w:rsidRPr="00A341E4">
        <w:rPr>
          <w:sz w:val="20"/>
          <w:szCs w:val="18"/>
          <w:lang w:val="en-GB"/>
        </w:rPr>
        <w:t xml:space="preserve">Faced with </w:t>
      </w:r>
      <w:r w:rsidR="00701E9C" w:rsidRPr="00A341E4">
        <w:rPr>
          <w:sz w:val="20"/>
          <w:szCs w:val="18"/>
          <w:lang w:val="en-GB"/>
        </w:rPr>
        <w:t xml:space="preserve">public politicization, </w:t>
      </w:r>
      <w:r w:rsidR="007319FF" w:rsidRPr="00A341E4">
        <w:rPr>
          <w:sz w:val="20"/>
          <w:szCs w:val="18"/>
          <w:lang w:val="en-GB"/>
        </w:rPr>
        <w:t xml:space="preserve">thus, </w:t>
      </w:r>
      <w:r w:rsidR="00701E9C" w:rsidRPr="00A341E4">
        <w:rPr>
          <w:sz w:val="20"/>
          <w:szCs w:val="18"/>
          <w:lang w:val="en-GB"/>
        </w:rPr>
        <w:t xml:space="preserve">also political institutions beyond the </w:t>
      </w:r>
      <w:r w:rsidR="00457108" w:rsidRPr="00A341E4">
        <w:rPr>
          <w:sz w:val="20"/>
          <w:szCs w:val="18"/>
          <w:lang w:val="en-GB"/>
        </w:rPr>
        <w:t xml:space="preserve">level of the </w:t>
      </w:r>
      <w:r w:rsidR="00701E9C" w:rsidRPr="00A341E4">
        <w:rPr>
          <w:sz w:val="20"/>
          <w:szCs w:val="18"/>
          <w:lang w:val="en-GB"/>
        </w:rPr>
        <w:t xml:space="preserve">nation state </w:t>
      </w:r>
      <w:r w:rsidR="00457108" w:rsidRPr="00A341E4">
        <w:rPr>
          <w:sz w:val="20"/>
          <w:szCs w:val="18"/>
          <w:lang w:val="en-GB"/>
        </w:rPr>
        <w:t>have discovered</w:t>
      </w:r>
      <w:r w:rsidR="007319FF" w:rsidRPr="00A341E4">
        <w:rPr>
          <w:sz w:val="20"/>
          <w:szCs w:val="18"/>
          <w:lang w:val="en-GB"/>
        </w:rPr>
        <w:t xml:space="preserve"> the need </w:t>
      </w:r>
      <w:r w:rsidR="003275B8" w:rsidRPr="00A341E4">
        <w:rPr>
          <w:sz w:val="20"/>
          <w:szCs w:val="18"/>
          <w:lang w:val="en-GB"/>
        </w:rPr>
        <w:t>to invest in</w:t>
      </w:r>
      <w:r w:rsidR="007319FF" w:rsidRPr="00A341E4">
        <w:rPr>
          <w:sz w:val="20"/>
          <w:szCs w:val="18"/>
          <w:lang w:val="en-GB"/>
        </w:rPr>
        <w:t xml:space="preserve"> </w:t>
      </w:r>
      <w:r w:rsidR="00701E9C" w:rsidRPr="00A341E4">
        <w:rPr>
          <w:sz w:val="20"/>
          <w:szCs w:val="18"/>
          <w:lang w:val="en-GB"/>
        </w:rPr>
        <w:t xml:space="preserve">public communication </w:t>
      </w:r>
      <w:r w:rsidR="00091B45" w:rsidRPr="00A341E4">
        <w:rPr>
          <w:sz w:val="20"/>
          <w:szCs w:val="18"/>
          <w:lang w:val="en-GB"/>
        </w:rPr>
        <w:fldChar w:fldCharType="begin"/>
      </w:r>
      <w:r w:rsidR="00571BBD">
        <w:rPr>
          <w:sz w:val="20"/>
          <w:szCs w:val="18"/>
          <w:lang w:val="en-GB"/>
        </w:rPr>
        <w:instrText xml:space="preserve"> ADDIN ZOTERO_ITEM CSL_CITATION {"citationID":"e1rUx1sA","properties":{"formattedCitation":"(Ecker-Ehrhardt 2018; Ecker-Ehrhardt 2020)","plainCitation":"(Ecker-Ehrhardt 2018; Ecker-Ehrhardt 2020)","noteIndex":0},"citationItems":[{"id":"PzvmnhM3/lFzc6DW5","uris":["http://zotero.org/users/5392384/items/A7RQULNB"],"uri":["http://zotero.org/users/5392384/items/A7RQULNB"],"itemData":{"id":151,"type":"article-journal","abstract":"International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43848094" w:rsidR="002E7307" w:rsidRPr="00A341E4" w:rsidRDefault="007319FF" w:rsidP="006E17DF">
      <w:pPr>
        <w:spacing w:before="120" w:after="0" w:line="240" w:lineRule="auto"/>
        <w:jc w:val="both"/>
        <w:rPr>
          <w:sz w:val="20"/>
          <w:szCs w:val="18"/>
          <w:lang w:val="en-GB"/>
        </w:rPr>
      </w:pPr>
      <w:bookmarkStart w:id="3"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571BBD">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PzvmnhM3/6kixgE1J","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6E17DF" w:rsidRPr="00A341E4">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571BBD">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2020)","noteIndex":0},"citationItems":[{"id":"PzvmnhM3/jYbdB2IK","uris":["http://zotero.org/users/5392384/items/IJVRZD7G"],"uri":["http://zotero.org/users/5392384/items/IJVRZD7G"],"itemData":{"id":153,"type":"article-journal","abstract":"Throughout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PzvmnhM3/t4yhjzv6","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r w:rsidR="00C43FA7" w:rsidRPr="00A341E4">
        <w:rPr>
          <w:sz w:val="20"/>
          <w:szCs w:val="18"/>
          <w:lang w:val="en-GB"/>
        </w:rPr>
        <w: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6AAC8E4D"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57200D" w:rsidRPr="00A341E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795D0B" w:rsidRPr="00A341E4">
        <w:rPr>
          <w:sz w:val="20"/>
          <w:szCs w:val="18"/>
          <w:lang w:val="en-GB"/>
        </w:rPr>
        <w: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795D0B" w:rsidRPr="00A341E4">
        <w:rPr>
          <w:rFonts w:cs="Calibri"/>
          <w:sz w:val="20"/>
          <w:szCs w:val="24"/>
          <w:lang w:val="en-GB"/>
        </w:rPr>
        <w:t xml:space="preserve">(De Vreese 2001; De Vreese </w:t>
      </w:r>
      <w:r w:rsidR="00795D0B" w:rsidRPr="00A341E4">
        <w:rPr>
          <w:rFonts w:cs="Calibri"/>
          <w:i/>
          <w:iCs/>
          <w:sz w:val="20"/>
          <w:szCs w:val="24"/>
          <w:lang w:val="en-GB"/>
        </w:rPr>
        <w:t>et al.</w:t>
      </w:r>
      <w:r w:rsidR="00795D0B" w:rsidRPr="00A341E4">
        <w:rPr>
          <w:rFonts w:cs="Calibri"/>
          <w:sz w:val="20"/>
          <w:szCs w:val="24"/>
          <w:lang w:val="en-GB"/>
        </w:rPr>
        <w:t xml:space="preserve"> 2006; Trenz 2008)</w:t>
      </w:r>
      <w:r w:rsidR="00795D0B" w:rsidRPr="00A341E4">
        <w:rPr>
          <w:sz w:val="20"/>
          <w:szCs w:val="18"/>
          <w:lang w:val="en-GB"/>
        </w:rPr>
        <w:fldChar w:fldCharType="end"/>
      </w:r>
      <w:commentRangeStart w:id="4"/>
      <w:r w:rsidR="00091B45" w:rsidRPr="00A341E4">
        <w:rPr>
          <w:sz w:val="20"/>
          <w:szCs w:val="18"/>
          <w:lang w:val="en-GB"/>
        </w:rPr>
        <w:t>.</w:t>
      </w:r>
      <w:commentRangeEnd w:id="4"/>
      <w:r w:rsidR="00D0206E" w:rsidRPr="00A341E4">
        <w:rPr>
          <w:rStyle w:val="Kommentarzeichen"/>
          <w:lang w:val="en-GB"/>
        </w:rPr>
        <w:commentReference w:id="4"/>
      </w:r>
      <w:r w:rsidR="00091B45" w:rsidRPr="00A341E4">
        <w:rPr>
          <w:sz w:val="20"/>
          <w:szCs w:val="18"/>
          <w:lang w:val="en-GB"/>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A341E4">
        <w:rPr>
          <w:sz w:val="20"/>
          <w:szCs w:val="18"/>
          <w:lang w:val="en-GB"/>
        </w:rPr>
        <w:fldChar w:fldCharType="begin"/>
      </w:r>
      <w:r w:rsidR="00D0206E" w:rsidRPr="00A341E4">
        <w:rPr>
          <w:sz w:val="20"/>
          <w:szCs w:val="18"/>
          <w:lang w:val="en-GB"/>
        </w:rPr>
        <w: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r w:rsidR="00D0206E" w:rsidRPr="00A341E4">
        <w:rPr>
          <w:sz w:val="20"/>
          <w:szCs w:val="18"/>
          <w:lang w:val="en-GB"/>
        </w:rPr>
        <w:fldChar w:fldCharType="separate"/>
      </w:r>
      <w:r w:rsidR="00D0206E" w:rsidRPr="00A341E4">
        <w:rPr>
          <w:rFonts w:cs="Calibri"/>
          <w:sz w:val="20"/>
          <w:szCs w:val="24"/>
          <w:lang w:val="en-GB"/>
        </w:rPr>
        <w:t xml:space="preserve">(Boomgaarden </w:t>
      </w:r>
      <w:r w:rsidR="00D0206E" w:rsidRPr="00A341E4">
        <w:rPr>
          <w:rFonts w:cs="Calibri"/>
          <w:i/>
          <w:iCs/>
          <w:sz w:val="20"/>
          <w:szCs w:val="24"/>
          <w:lang w:val="en-GB"/>
        </w:rPr>
        <w:t>et al.</w:t>
      </w:r>
      <w:r w:rsidR="00D0206E" w:rsidRPr="00A341E4">
        <w:rPr>
          <w:rFonts w:cs="Calibri"/>
          <w:sz w:val="20"/>
          <w:szCs w:val="24"/>
          <w:lang w:val="en-GB"/>
        </w:rPr>
        <w:t xml:space="preserve"> 2013)</w:t>
      </w:r>
      <w:r w:rsidR="00D0206E" w:rsidRPr="00A341E4">
        <w:rPr>
          <w:sz w:val="20"/>
          <w:szCs w:val="18"/>
          <w:lang w:val="en-GB"/>
        </w:rPr>
        <w:fldChar w:fldCharType="end"/>
      </w:r>
      <w:r w:rsidR="00091B45" w:rsidRPr="00A341E4">
        <w:rPr>
          <w:sz w:val="20"/>
          <w:szCs w:val="18"/>
          <w:lang w:val="en-GB"/>
        </w:rPr>
        <w:t xml:space="preserve">. </w:t>
      </w:r>
      <w:commentRangeStart w:id="5"/>
      <w:commentRangeEnd w:id="5"/>
      <w:r w:rsidR="00F02D97" w:rsidRPr="00A341E4">
        <w:rPr>
          <w:rStyle w:val="Kommentarzeichen"/>
          <w:lang w:val="en-GB"/>
        </w:rPr>
        <w:commentReference w:id="5"/>
      </w:r>
      <w:r w:rsidR="00D0206E" w:rsidRPr="00A341E4">
        <w:rPr>
          <w:sz w:val="20"/>
          <w:szCs w:val="18"/>
          <w:lang w:val="en-GB"/>
        </w:rPr>
        <w:t>In the environment of traditional media systems, thus, supranational institutions have a hard time to get their message across.</w:t>
      </w:r>
    </w:p>
    <w:p w14:paraId="4906D443" w14:textId="77777777" w:rsidR="001665A9" w:rsidRPr="00A341E4" w:rsidRDefault="001665A9" w:rsidP="003275B8">
      <w:pPr>
        <w:spacing w:before="120" w:after="0" w:line="240" w:lineRule="auto"/>
        <w:jc w:val="both"/>
        <w:rPr>
          <w:sz w:val="20"/>
          <w:szCs w:val="18"/>
          <w:lang w:val="en-GB"/>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6" w:name="para-3"/>
      <w:bookmarkEnd w:id="3"/>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w:t>
      </w:r>
      <w:proofErr w:type="spellStart"/>
      <w:r w:rsidR="00091B45" w:rsidRPr="00A341E4">
        <w:rPr>
          <w:sz w:val="20"/>
          <w:szCs w:val="18"/>
          <w:lang w:val="en-GB"/>
        </w:rPr>
        <w:t>Bossetta</w:t>
      </w:r>
      <w:proofErr w:type="spellEnd"/>
      <w:r w:rsidR="00091B45" w:rsidRPr="00A341E4">
        <w:rPr>
          <w:sz w:val="20"/>
          <w:szCs w:val="18"/>
          <w:lang w:val="en-GB"/>
        </w:rPr>
        <w:t xml:space="preserve">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(which might create additional incentives for journalistic coverage, </w:t>
      </w:r>
      <w:commentRangeStart w:id="7"/>
      <w:r w:rsidRPr="00A341E4">
        <w:rPr>
          <w:sz w:val="20"/>
          <w:szCs w:val="18"/>
          <w:lang w:val="en-GB"/>
        </w:rPr>
        <w:t>XYZ</w:t>
      </w:r>
      <w:commentRangeEnd w:id="7"/>
      <w:r w:rsidRPr="00A341E4">
        <w:rPr>
          <w:rStyle w:val="Kommentarzeichen"/>
          <w:lang w:val="en-GB"/>
        </w:rPr>
        <w:commentReference w:id="7"/>
      </w:r>
      <w:r w:rsidRPr="00A341E4">
        <w:rPr>
          <w:sz w:val="20"/>
          <w:szCs w:val="18"/>
          <w:lang w:val="en-GB"/>
        </w:rPr>
        <w:t xml:space="preserve">), and to reach out to European citizens more directly. </w:t>
      </w:r>
    </w:p>
    <w:p w14:paraId="7E72D366" w14:textId="6E20CCAB"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The platforms usually reward clear and concise messaging. </w:t>
      </w:r>
      <w:r w:rsidR="0032673F" w:rsidRPr="00A341E4">
        <w:rPr>
          <w:sz w:val="20"/>
          <w:szCs w:val="18"/>
          <w:lang w:val="en-GB"/>
        </w:rPr>
        <w:t>In addition, t</w:t>
      </w:r>
      <w:r w:rsidRPr="00A341E4">
        <w:rPr>
          <w:sz w:val="20"/>
          <w:szCs w:val="18"/>
          <w:lang w:val="en-GB"/>
        </w:rPr>
        <w:t xml:space="preserve">hey offer multimedia features such as pictures, videos, or symbols that may </w:t>
      </w:r>
      <w:r w:rsidR="0032673F" w:rsidRPr="00A341E4">
        <w:rPr>
          <w:sz w:val="20"/>
          <w:szCs w:val="18"/>
          <w:lang w:val="en-GB"/>
        </w:rPr>
        <w:t xml:space="preserve">also </w:t>
      </w:r>
      <w:r w:rsidRPr="00A341E4">
        <w:rPr>
          <w:sz w:val="20"/>
          <w:szCs w:val="18"/>
          <w:lang w:val="en-GB"/>
        </w:rPr>
        <w:t xml:space="preserve">be beneficial for accessible and engaging </w:t>
      </w:r>
      <w:r w:rsidR="0032673F" w:rsidRPr="00A341E4">
        <w:rPr>
          <w:sz w:val="20"/>
          <w:szCs w:val="18"/>
          <w:lang w:val="en-GB"/>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tools. It takes mere minutes to set up an account and they are often </w:t>
      </w:r>
      <w:proofErr w:type="gramStart"/>
      <w:r w:rsidR="0032673F" w:rsidRPr="00A341E4">
        <w:rPr>
          <w:sz w:val="20"/>
          <w:szCs w:val="18"/>
          <w:lang w:val="en-GB"/>
        </w:rPr>
        <w:t>very easy</w:t>
      </w:r>
      <w:proofErr w:type="gramEnd"/>
      <w:r w:rsidR="0032673F" w:rsidRPr="00A341E4">
        <w:rPr>
          <w:sz w:val="20"/>
          <w:szCs w:val="18"/>
          <w:lang w:val="en-GB"/>
        </w:rPr>
        <w:t xml:space="preserve"> to maintain, thus also limiting internal gatekeeping.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static webpages of web 2.0,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timelines or could simply </w:t>
      </w:r>
      <w:r w:rsidR="00091B45" w:rsidRPr="00A341E4">
        <w:rPr>
          <w:sz w:val="20"/>
          <w:szCs w:val="18"/>
          <w:lang w:val="en-GB"/>
        </w:rPr>
        <w:t xml:space="preserve">follow social media accounts </w:t>
      </w:r>
      <w:r w:rsidR="0032673F" w:rsidRPr="00A341E4">
        <w:rPr>
          <w:sz w:val="20"/>
          <w:szCs w:val="18"/>
          <w:lang w:val="en-GB"/>
        </w:rPr>
        <w:t>by one click if they deem them interesting</w:t>
      </w:r>
      <w:r w:rsidR="00091B45" w:rsidRPr="00A341E4">
        <w:rPr>
          <w:sz w:val="20"/>
          <w:szCs w:val="18"/>
          <w:lang w:val="en-GB"/>
        </w:rPr>
        <w:t>.</w:t>
      </w:r>
    </w:p>
    <w:p w14:paraId="417026C4" w14:textId="07F5E8DB" w:rsidR="004A4DF3" w:rsidRPr="00A341E4" w:rsidRDefault="004A4DF3" w:rsidP="00424129">
      <w:pPr>
        <w:spacing w:before="120" w:after="0" w:line="240" w:lineRule="auto"/>
        <w:jc w:val="both"/>
        <w:rPr>
          <w:sz w:val="20"/>
          <w:szCs w:val="18"/>
          <w:lang w:val="en-GB"/>
        </w:rPr>
      </w:pPr>
      <w:bookmarkStart w:id="8" w:name="para-4"/>
      <w:bookmarkEnd w:id="6"/>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 xml:space="preserve">additional communication channels for supranational institutions willing to defend themselves in a politicized climate. Yet, to what extent and how do supranational actors </w:t>
      </w:r>
      <w:proofErr w:type="gramStart"/>
      <w:r w:rsidR="009873DB" w:rsidRPr="00A341E4">
        <w:rPr>
          <w:sz w:val="20"/>
          <w:szCs w:val="18"/>
          <w:lang w:val="en-GB"/>
        </w:rPr>
        <w:t xml:space="preserve">actually </w:t>
      </w:r>
      <w:r w:rsidR="00424129" w:rsidRPr="00A341E4">
        <w:rPr>
          <w:sz w:val="20"/>
          <w:szCs w:val="18"/>
          <w:lang w:val="en-GB"/>
        </w:rPr>
        <w:t>use</w:t>
      </w:r>
      <w:proofErr w:type="gramEnd"/>
      <w:r w:rsidR="00424129" w:rsidRPr="00A341E4">
        <w:rPr>
          <w:sz w:val="20"/>
          <w:szCs w:val="18"/>
          <w:lang w:val="en-GB"/>
        </w:rPr>
        <w:t xml:space="preserve"> this potential?</w:t>
      </w:r>
    </w:p>
    <w:p w14:paraId="3B987C2E" w14:textId="218693E4" w:rsidR="004A4DF3" w:rsidRPr="00A341E4" w:rsidRDefault="009873DB" w:rsidP="00091B45">
      <w:pPr>
        <w:spacing w:before="120" w:after="0" w:line="240" w:lineRule="auto"/>
        <w:jc w:val="both"/>
        <w:rPr>
          <w:sz w:val="20"/>
          <w:szCs w:val="18"/>
          <w:lang w:val="en-GB"/>
        </w:rPr>
      </w:pPr>
      <w:r w:rsidRPr="00A341E4">
        <w:rPr>
          <w:sz w:val="20"/>
          <w:szCs w:val="18"/>
          <w:lang w:val="en-GB"/>
        </w:rPr>
        <w:t>While extant research ha</w:t>
      </w:r>
      <w:r w:rsidR="00F93DCA" w:rsidRPr="00A341E4">
        <w:rPr>
          <w:sz w:val="20"/>
          <w:szCs w:val="18"/>
          <w:lang w:val="en-GB"/>
        </w:rPr>
        <w:t>s</w:t>
      </w:r>
      <w:r w:rsidRPr="00A341E4">
        <w:rPr>
          <w:sz w:val="20"/>
          <w:szCs w:val="18"/>
          <w:lang w:val="en-GB"/>
        </w:rPr>
        <w:t xml:space="preserve"> generated insights into the grand social media strategies of European institutions (Asimina and others</w:t>
      </w:r>
      <w:r w:rsidR="00347AD4" w:rsidRPr="00A341E4">
        <w:rPr>
          <w:sz w:val="20"/>
          <w:szCs w:val="18"/>
          <w:lang w:val="en-GB"/>
        </w:rPr>
        <w:t xml:space="preserve"> XXX</w:t>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proofErr w:type="spellStart"/>
      <w:r w:rsidRPr="00A341E4">
        <w:rPr>
          <w:i/>
          <w:sz w:val="20"/>
          <w:szCs w:val="18"/>
          <w:lang w:val="en-GB"/>
        </w:rPr>
        <w:t>behavior</w:t>
      </w:r>
      <w:proofErr w:type="spellEnd"/>
      <w:r w:rsidRPr="00A341E4">
        <w:rPr>
          <w:i/>
          <w:sz w:val="20"/>
          <w:szCs w:val="18"/>
          <w:lang w:val="en-GB"/>
        </w:rPr>
        <w:t xml:space="preserve"> of supranational actors on social media platforms</w:t>
      </w:r>
      <w:r w:rsidRPr="00A341E4">
        <w:rPr>
          <w:sz w:val="20"/>
          <w:szCs w:val="18"/>
          <w:lang w:val="en-GB"/>
        </w:rPr>
        <w:t xml:space="preserve"> is rare</w:t>
      </w:r>
      <w:r w:rsidR="00347AD4" w:rsidRPr="00A341E4">
        <w:rPr>
          <w:sz w:val="20"/>
          <w:szCs w:val="18"/>
          <w:lang w:val="en-GB"/>
        </w:rPr>
        <w:t xml:space="preserve"> (XXX)</w:t>
      </w:r>
      <w:commentRangeStart w:id="9"/>
      <w:r w:rsidRPr="00A341E4">
        <w:rPr>
          <w:sz w:val="20"/>
          <w:szCs w:val="18"/>
          <w:lang w:val="en-GB"/>
        </w:rPr>
        <w:t>.</w:t>
      </w:r>
      <w:commentRangeEnd w:id="9"/>
      <w:r w:rsidRPr="00A341E4">
        <w:rPr>
          <w:rStyle w:val="Kommentarzeichen"/>
          <w:lang w:val="en-GB"/>
        </w:rPr>
        <w:commentReference w:id="9"/>
      </w:r>
      <w:r w:rsidRPr="00A341E4">
        <w:rPr>
          <w:sz w:val="20"/>
          <w:szCs w:val="18"/>
          <w:lang w:val="en-GB"/>
        </w:rPr>
        <w:t xml:space="preserve"> </w:t>
      </w:r>
      <w:r w:rsidR="00F93DCA" w:rsidRPr="00A341E4">
        <w:rPr>
          <w:sz w:val="20"/>
          <w:szCs w:val="18"/>
          <w:lang w:val="en-GB"/>
        </w:rPr>
        <w:t xml:space="preserve">This article focusses on Twitter, a highly prominent international microblogging platform featuring lots of public and publicly visible political debate </w:t>
      </w:r>
      <w:commentRangeStart w:id="10"/>
      <w:r w:rsidR="00F93DCA" w:rsidRPr="00A341E4">
        <w:rPr>
          <w:sz w:val="20"/>
          <w:szCs w:val="18"/>
          <w:lang w:val="en-GB"/>
        </w:rPr>
        <w:t>(XXX)</w:t>
      </w:r>
      <w:commentRangeEnd w:id="10"/>
      <w:r w:rsidR="00F93DCA" w:rsidRPr="00A341E4">
        <w:rPr>
          <w:rStyle w:val="Kommentarzeichen"/>
          <w:lang w:val="en-GB"/>
        </w:rPr>
        <w:commentReference w:id="10"/>
      </w:r>
      <w:r w:rsidR="00F93DCA" w:rsidRPr="00A341E4">
        <w:rPr>
          <w:sz w:val="20"/>
          <w:szCs w:val="18"/>
          <w:lang w:val="en-GB"/>
        </w:rPr>
        <w:t xml:space="preserve">. </w:t>
      </w:r>
      <w:r w:rsidR="00347AD4" w:rsidRPr="00A341E4">
        <w:rPr>
          <w:sz w:val="20"/>
          <w:szCs w:val="18"/>
          <w:lang w:val="en-GB"/>
        </w:rPr>
        <w:t xml:space="preserve">We </w:t>
      </w:r>
      <w:proofErr w:type="spellStart"/>
      <w:r w:rsidR="00347AD4" w:rsidRPr="00A341E4">
        <w:rPr>
          <w:sz w:val="20"/>
          <w:szCs w:val="18"/>
          <w:lang w:val="en-GB"/>
        </w:rPr>
        <w:t>analyze</w:t>
      </w:r>
      <w:proofErr w:type="spellEnd"/>
      <w:r w:rsidR="00347AD4" w:rsidRPr="00A341E4">
        <w:rPr>
          <w:sz w:val="20"/>
          <w:szCs w:val="18"/>
          <w:lang w:val="en-GB"/>
        </w:rPr>
        <w:t xml:space="preserve"> more than one million public messages (tweets) issued by 115 supranational institutions and individual executives in the 2009-2021 period. This allows us to describe the volume, the language quality, and the multimedia usage of supranational messaging as well as the degree to which supranational actors engage and engage with other users on the platform.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r w:rsidR="00013D14" w:rsidRPr="00A341E4">
        <w:rPr>
          <w:sz w:val="20"/>
          <w:szCs w:val="18"/>
          <w:lang w:val="en-GB"/>
        </w:rPr>
        <w:t>national and international institutions and executives as well as random Twitter users.</w:t>
      </w:r>
    </w:p>
    <w:p w14:paraId="7526BAEA" w14:textId="0AE48DC8" w:rsidR="00013D14" w:rsidRPr="00A341E4" w:rsidRDefault="00013D14" w:rsidP="00091B45">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11"/>
      <w:commentRangeEnd w:id="11"/>
      <w:r w:rsidRPr="00A341E4">
        <w:rPr>
          <w:rStyle w:val="Kommentarzeichen"/>
          <w:lang w:val="en-GB"/>
        </w:rPr>
        <w:commentReference w:id="11"/>
      </w:r>
    </w:p>
    <w:p w14:paraId="03CFD1EE" w14:textId="77777777" w:rsidR="00A233EF" w:rsidRPr="00A341E4" w:rsidRDefault="00A233EF" w:rsidP="00A233EF">
      <w:pPr>
        <w:spacing w:before="120" w:after="12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r w:rsidRPr="00A341E4">
        <w:rPr>
          <w:b/>
          <w:sz w:val="20"/>
          <w:szCs w:val="18"/>
          <w:lang w:val="en-GB"/>
        </w:rPr>
        <w:t>2. Data collection: Supranational tweets and relevant benchmarks</w:t>
      </w:r>
    </w:p>
    <w:p w14:paraId="0C6744AA" w14:textId="40D9C18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w:t>
      </w:r>
      <w:proofErr w:type="gramStart"/>
      <w:r w:rsidR="00CF046B" w:rsidRPr="00A341E4">
        <w:rPr>
          <w:sz w:val="20"/>
          <w:szCs w:val="18"/>
          <w:lang w:val="en-GB"/>
        </w:rPr>
        <w:t>i.e.</w:t>
      </w:r>
      <w:proofErr w:type="gramEnd"/>
      <w:r w:rsidR="00CF046B" w:rsidRPr="00A341E4">
        <w:rPr>
          <w:sz w:val="20"/>
          <w:szCs w:val="18"/>
          <w:lang w:val="en-GB"/>
        </w:rPr>
        <w:t xml:space="preserve"> the executive branches of the EU which control independent delegated powers. Institutions such as the European Commission or the ECB are often </w:t>
      </w:r>
      <w:r w:rsidR="00CF046B" w:rsidRPr="00A341E4">
        <w:rPr>
          <w:sz w:val="20"/>
          <w:szCs w:val="18"/>
          <w:lang w:val="en-GB"/>
        </w:rPr>
        <w:lastRenderedPageBreak/>
        <w:t xml:space="preserve">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0A0D2D" w:rsidRPr="00A341E4">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5B38CB67"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A341E4">
        <w:rPr>
          <w:i/>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or agency heads (e.g.</w:t>
      </w:r>
      <w:r w:rsidR="00B937F8" w:rsidRPr="00A341E4">
        <w:rPr>
          <w:sz w:val="20"/>
          <w:szCs w:val="18"/>
          <w:lang w:val="en-GB"/>
        </w:rPr>
        <w:t>,</w:t>
      </w:r>
      <w:r w:rsidRPr="00A341E4">
        <w:rPr>
          <w:sz w:val="20"/>
          <w:szCs w:val="18"/>
          <w:lang w:val="en-GB"/>
        </w:rPr>
        <w:t xml:space="preserve"> </w:t>
      </w:r>
      <w:commentRangeStart w:id="12"/>
      <w:r w:rsidRPr="00A341E4">
        <w:rPr>
          <w:sz w:val="20"/>
          <w:szCs w:val="18"/>
          <w:lang w:val="en-GB"/>
        </w:rPr>
        <w:t>@stefanomanservi</w:t>
      </w:r>
      <w:commentRangeEnd w:id="12"/>
      <w:r w:rsidRPr="00A341E4">
        <w:rPr>
          <w:sz w:val="20"/>
          <w:szCs w:val="18"/>
          <w:lang w:val="en-GB"/>
        </w:rPr>
        <w:commentReference w:id="12"/>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full list in Appendix XXX</w:t>
      </w:r>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6F3B169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 xml:space="preserve">supranational </w:t>
      </w:r>
      <w:proofErr w:type="spellStart"/>
      <w:r w:rsidR="00322DEE" w:rsidRPr="00A341E4">
        <w:rPr>
          <w:sz w:val="20"/>
          <w:szCs w:val="18"/>
          <w:lang w:val="en-GB"/>
        </w:rPr>
        <w:t>behavior</w:t>
      </w:r>
      <w:proofErr w:type="spellEnd"/>
      <w:r w:rsidR="00322DEE" w:rsidRPr="00A341E4">
        <w:rPr>
          <w:sz w:val="20"/>
          <w:szCs w:val="18"/>
          <w:lang w:val="en-GB"/>
        </w:rPr>
        <w:t xml:space="preserve"> on social media, we cannot meaningfully </w:t>
      </w:r>
      <w:proofErr w:type="spellStart"/>
      <w:r w:rsidR="00322DEE" w:rsidRPr="00A341E4">
        <w:rPr>
          <w:sz w:val="20"/>
          <w:szCs w:val="18"/>
          <w:lang w:val="en-GB"/>
        </w:rPr>
        <w:t>analyze</w:t>
      </w:r>
      <w:proofErr w:type="spellEnd"/>
      <w:r w:rsidR="00322DEE" w:rsidRPr="00A341E4">
        <w:rPr>
          <w:sz w:val="20"/>
          <w:szCs w:val="18"/>
          <w:lang w:val="en-GB"/>
        </w:rPr>
        <w:t xml:space="preserv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what the aggregate these messages tell us,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5E626C31"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proofErr w:type="spellStart"/>
      <w:r w:rsidRPr="00A341E4">
        <w:rPr>
          <w:sz w:val="20"/>
          <w:szCs w:val="18"/>
          <w:lang w:val="en-GB"/>
        </w:rPr>
        <w:t>behavior</w:t>
      </w:r>
      <w:proofErr w:type="spellEnd"/>
      <w:r w:rsidRPr="00A341E4">
        <w:rPr>
          <w:sz w:val="20"/>
          <w:szCs w:val="18"/>
          <w:lang w:val="en-GB"/>
        </w:rPr>
        <w:t xml:space="preserve"> on the platform. To construct this </w:t>
      </w:r>
      <w:r w:rsidR="00322DEE" w:rsidRPr="00A341E4">
        <w:rPr>
          <w:sz w:val="20"/>
          <w:szCs w:val="18"/>
          <w:lang w:val="en-GB"/>
        </w:rPr>
        <w:t>benchmark</w:t>
      </w:r>
      <w:r w:rsidRPr="00A341E4">
        <w:rPr>
          <w:sz w:val="20"/>
          <w:szCs w:val="18"/>
          <w:lang w:val="en-GB"/>
        </w:rPr>
        <w:t xml:space="preserve">, we streamed in tweets from 26 EU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3021D82C"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to use Delors’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proofErr w:type="spellStart"/>
      <w:proofErr w:type="gramStart"/>
      <w:r w:rsidR="00A233EF" w:rsidRPr="00A341E4">
        <w:rPr>
          <w:sz w:val="20"/>
          <w:szCs w:val="18"/>
          <w:lang w:val="en-GB"/>
        </w:rPr>
        <w:t>a</w:t>
      </w:r>
      <w:proofErr w:type="spellEnd"/>
      <w:proofErr w:type="gramEnd"/>
      <w:r w:rsidR="00A233EF" w:rsidRPr="00A341E4">
        <w:rPr>
          <w:sz w:val="20"/>
          <w:szCs w:val="18"/>
          <w:lang w:val="en-GB"/>
        </w:rPr>
        <w:t xml:space="preserve"> </w:t>
      </w:r>
      <w:r w:rsidRPr="00A341E4">
        <w:rPr>
          <w:sz w:val="20"/>
          <w:szCs w:val="18"/>
          <w:lang w:val="en-GB"/>
        </w:rPr>
        <w:t xml:space="preserve">executive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729B3839"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(see appendix XXX for the full list of </w:t>
      </w:r>
      <w:r w:rsidR="00AC7F9F" w:rsidRPr="00A341E4">
        <w:rPr>
          <w:sz w:val="20"/>
          <w:szCs w:val="18"/>
          <w:lang w:val="en-GB"/>
        </w:rPr>
        <w:t>168</w:t>
      </w:r>
      <w:r w:rsidRPr="00A341E4">
        <w:rPr>
          <w:sz w:val="20"/>
          <w:szCs w:val="18"/>
          <w:lang w:val="en-GB"/>
        </w:rPr>
        <w:t xml:space="preserve"> accounts). Collecting the data analogously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341E4">
        <w:rPr>
          <w:sz w:val="20"/>
          <w:szCs w:val="18"/>
          <w:lang w:val="en-GB"/>
        </w:rPr>
        <w:fldChar w:fldCharType="begin"/>
      </w:r>
      <w:r w:rsidR="000A0D2D" w:rsidRPr="00A341E4">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0A0D2D" w:rsidRPr="00A341E4">
        <w:rPr>
          <w:sz w:val="20"/>
          <w:szCs w:val="18"/>
          <w:lang w:val="en-GB"/>
        </w:rPr>
        <w:instrText xml:space="preserve"> ADDIN ZOTERO_ITEM CSL_CITATION {"citationID":"5GJWHPH8","properties":{"formattedCitation":"(2020; full list in Appendix XXX)","plainCitation":"(2020; full list in Appendix XXX)","noteIndex":0},"citationItems":[{"id":7077,"uris":["http://zotero.org/groups/2912652/items/P36MW4GY"],"uri":["http://zotero.org/groups/2912652/items/P36MW4GY"],"itemData":{"id":7077,"type":"chapter","abstract":"This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Pr="00A341E4">
        <w:rPr>
          <w:sz w:val="20"/>
          <w:szCs w:val="18"/>
          <w:lang w:val="en-GB"/>
        </w:rPr>
        <w:fldChar w:fldCharType="separate"/>
      </w:r>
      <w:r w:rsidRPr="00A341E4">
        <w:rPr>
          <w:sz w:val="20"/>
          <w:szCs w:val="18"/>
          <w:lang w:val="en-GB"/>
        </w:rPr>
        <w:t>(2020; full list in Appendix XXX)</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FC6904" w:rsidRPr="00A341E4">
        <w:rPr>
          <w:sz w:val="20"/>
          <w:szCs w:val="20"/>
          <w:lang w:val="en-GB"/>
        </w:rPr>
        <w:t xml:space="preserve">Table </w:t>
      </w:r>
      <w:r w:rsidR="00FC6904" w:rsidRPr="00A341E4">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the observations </w:t>
      </w:r>
      <w:r w:rsidR="00DB0C73" w:rsidRPr="00A341E4">
        <w:rPr>
          <w:sz w:val="20"/>
          <w:szCs w:val="18"/>
          <w:lang w:val="en-GB"/>
        </w:rPr>
        <w:t xml:space="preserve">available </w:t>
      </w:r>
      <w:r w:rsidR="00582374" w:rsidRPr="00A341E4">
        <w:rPr>
          <w:sz w:val="20"/>
          <w:szCs w:val="18"/>
          <w:lang w:val="en-GB"/>
        </w:rPr>
        <w:t>for comparative analys</w:t>
      </w:r>
      <w:r w:rsidR="00DB0C73" w:rsidRPr="00A341E4">
        <w:rPr>
          <w:sz w:val="20"/>
          <w:szCs w:val="18"/>
          <w:lang w:val="en-GB"/>
        </w:rPr>
        <w:t>i</w:t>
      </w:r>
      <w:r w:rsidR="00582374" w:rsidRPr="00A341E4">
        <w:rPr>
          <w:sz w:val="20"/>
          <w:szCs w:val="18"/>
          <w:lang w:val="en-GB"/>
        </w:rPr>
        <w:t>s in the subsequent sections.</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144EA2D7" w:rsidR="00582374" w:rsidRPr="00A341E4" w:rsidRDefault="009C6D4B" w:rsidP="009C6D4B">
      <w:pPr>
        <w:pStyle w:val="Beschriftung"/>
        <w:keepNext/>
        <w:keepLines/>
        <w:jc w:val="center"/>
        <w:rPr>
          <w:b/>
          <w:bCs/>
          <w:color w:val="auto"/>
          <w:sz w:val="20"/>
          <w:lang w:val="en-GB"/>
        </w:rPr>
      </w:pPr>
      <w:bookmarkStart w:id="13"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3"/>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8"/>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Key characteristics of supranational Twitter activity in comparative perspective</w:t>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335B9196"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5D4A7B" w:rsidRPr="00A341E4">
        <w:rPr>
          <w:sz w:val="20"/>
          <w:szCs w:val="20"/>
          <w:lang w:val="en-GB"/>
        </w:rPr>
        <w:t xml:space="preserve">Figure </w:t>
      </w:r>
      <w:r w:rsidR="005D4A7B" w:rsidRPr="00A341E4">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25575C65" w:rsidR="00DB0C73" w:rsidRPr="00A341E4" w:rsidRDefault="005D4A7B" w:rsidP="005D4A7B">
      <w:pPr>
        <w:pStyle w:val="Beschriftung"/>
        <w:keepLines/>
        <w:jc w:val="center"/>
        <w:rPr>
          <w:color w:val="auto"/>
          <w:sz w:val="20"/>
          <w:lang w:val="en-GB"/>
        </w:rPr>
      </w:pPr>
      <w:bookmarkStart w:id="14"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4"/>
      <w:r w:rsidRPr="00A341E4">
        <w:rPr>
          <w:color w:val="auto"/>
          <w:lang w:val="en-GB"/>
        </w:rPr>
        <w:t>: Number of tweets per day and account</w:t>
      </w:r>
    </w:p>
    <w:p w14:paraId="66283671" w14:textId="5842C404"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r w:rsidR="000A0D2D" w:rsidRPr="00A341E4">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37B62D1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B21829" w:rsidRPr="00A341E4">
        <w:rPr>
          <w:sz w:val="20"/>
          <w:szCs w:val="20"/>
          <w:lang w:val="en-GB"/>
        </w:rPr>
        <w:t xml:space="preserve">Figure </w:t>
      </w:r>
      <w:r w:rsidR="00B21829" w:rsidRPr="00A341E4">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76527955" w:rsidR="00B21829" w:rsidRPr="00A341E4" w:rsidRDefault="00B02F28" w:rsidP="00D92073">
      <w:pPr>
        <w:spacing w:before="120" w:after="0" w:line="240" w:lineRule="auto"/>
        <w:jc w:val="both"/>
        <w:rPr>
          <w:sz w:val="20"/>
          <w:szCs w:val="20"/>
          <w:lang w:val="en-GB"/>
        </w:rPr>
      </w:pPr>
      <w:r w:rsidRPr="00A341E4">
        <w:rPr>
          <w:sz w:val="20"/>
          <w:szCs w:val="20"/>
          <w:lang w:val="en-GB"/>
        </w:rPr>
        <w:t>T</w:t>
      </w:r>
      <w:r w:rsidR="00B21829" w:rsidRPr="00A341E4">
        <w:rPr>
          <w:sz w:val="20"/>
          <w:szCs w:val="20"/>
          <w:lang w:val="en-GB"/>
        </w:rPr>
        <w:t xml:space="preserve">hese highly aggregated averages hide significant variation within our population of supranational actors. Among the most avid tweeters are the Commission’s Directorate-General </w:t>
      </w:r>
      <w:r w:rsidR="002140DD" w:rsidRPr="00A341E4">
        <w:rPr>
          <w:sz w:val="20"/>
          <w:szCs w:val="20"/>
          <w:lang w:val="en-GB"/>
        </w:rPr>
        <w:t>for Digital Policies (CONNECT,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but also</w:t>
      </w:r>
      <w:r w:rsidR="002140DD" w:rsidRPr="00A341E4">
        <w:rPr>
          <w:sz w:val="20"/>
          <w:szCs w:val="20"/>
          <w:lang w:val="en-GB"/>
        </w:rPr>
        <w:t xml:space="preserve"> 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 is 2.58 tweets per day) is not systematically distinct from our UK benchmark sample (2.23 daily tweets) and markedly lower than in sample of tweets from international organizations (4 daily tweets).</w:t>
      </w:r>
    </w:p>
    <w:p w14:paraId="7D8B4BD2" w14:textId="43356A4A"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left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5E5C2B" w:rsidRPr="00A341E4">
        <w:rPr>
          <w:sz w:val="20"/>
          <w:szCs w:val="20"/>
          <w:lang w:val="en-GB"/>
        </w:rPr>
        <w:t xml:space="preserve">Figure </w:t>
      </w:r>
      <w:r w:rsidR="005E5C2B" w:rsidRPr="00A341E4">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thus, we can clearly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7EB59F53"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 below. To this end, we removed all non-textual symbols, media, and external links (separately </w:t>
      </w:r>
      <w:proofErr w:type="spellStart"/>
      <w:r w:rsidR="008A6FB2" w:rsidRPr="00A341E4">
        <w:rPr>
          <w:sz w:val="20"/>
          <w:szCs w:val="18"/>
          <w:lang w:val="en-GB"/>
        </w:rPr>
        <w:t>analyzed</w:t>
      </w:r>
      <w:proofErr w:type="spellEnd"/>
      <w:r w:rsidR="008A6FB2" w:rsidRPr="00A341E4">
        <w:rPr>
          <w:sz w:val="20"/>
          <w:szCs w:val="18"/>
          <w:lang w:val="en-GB"/>
        </w:rPr>
        <w:t xml:space="preserve"> in other sections 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AB6DA4" w:rsidRPr="00A341E4">
        <w:rPr>
          <w:sz w:val="20"/>
          <w:szCs w:val="20"/>
          <w:lang w:val="en-GB"/>
        </w:rPr>
        <w:t xml:space="preserve">Table </w:t>
      </w:r>
      <w:r w:rsidR="00AB6DA4" w:rsidRPr="00A341E4">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gridCol w:w="4068"/>
      </w:tblGrid>
      <w:tr w:rsidR="008A6FB2" w:rsidRPr="00A341E4" w14:paraId="57438C9F" w14:textId="77777777" w:rsidTr="00FE5DDD">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FE5DDD">
        <w:trPr>
          <w:tblCellSpacing w:w="15" w:type="dxa"/>
        </w:trPr>
        <w:tc>
          <w:tcPr>
            <w:tcW w:w="0" w:type="auto"/>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7F4E91">
        <w:trPr>
          <w:tblCellSpacing w:w="15" w:type="dxa"/>
        </w:trPr>
        <w:tc>
          <w:tcPr>
            <w:tcW w:w="0" w:type="auto"/>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5E02C589" w:rsidR="00AB6DA4" w:rsidRPr="00A341E4" w:rsidRDefault="00AB6DA4" w:rsidP="00AB6DA4">
      <w:pPr>
        <w:pStyle w:val="Beschriftung"/>
        <w:keepNext/>
        <w:keepLines/>
        <w:jc w:val="center"/>
        <w:rPr>
          <w:b/>
          <w:bCs/>
          <w:color w:val="auto"/>
          <w:sz w:val="20"/>
          <w:lang w:val="en-GB"/>
        </w:rPr>
      </w:pPr>
      <w:bookmarkStart w:id="15"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5"/>
      <w:r w:rsidRPr="00A341E4">
        <w:rPr>
          <w:b/>
          <w:bCs/>
          <w:color w:val="auto"/>
          <w:lang w:val="en-GB"/>
        </w:rPr>
        <w:t xml:space="preserve">: </w:t>
      </w:r>
      <w:r w:rsidRPr="00A341E4">
        <w:rPr>
          <w:color w:val="auto"/>
          <w:lang w:val="en-GB"/>
        </w:rPr>
        <w:t>Tweet text processing examples</w:t>
      </w:r>
    </w:p>
    <w:p w14:paraId="538D785D" w14:textId="7A6AAA7C"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900B9E">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suggest that supranational actors do not respect linguistic diversity of the EU</w:t>
      </w:r>
      <w:r w:rsidR="00965014" w:rsidRPr="00A341E4">
        <w:rPr>
          <w:sz w:val="20"/>
          <w:szCs w:val="18"/>
          <w:lang w:val="en-GB"/>
        </w:rPr>
        <w:t xml:space="preserve"> but that</w:t>
      </w:r>
      <w:r w:rsidR="009315E0" w:rsidRPr="00A341E4">
        <w:rPr>
          <w:sz w:val="20"/>
          <w:szCs w:val="18"/>
          <w:lang w:val="en-GB"/>
        </w:rPr>
        <w:t xml:space="preserve"> should also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3434BB4D"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900B9E">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3047D1">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571BBD">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3CA6DEBC"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571BBD">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r w:rsidR="002255C6">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4417E12B"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there tweets </w:t>
      </w:r>
      <w:r w:rsidRPr="00A341E4">
        <w:rPr>
          <w:sz w:val="20"/>
          <w:szCs w:val="18"/>
          <w:lang w:val="en-GB"/>
        </w:rPr>
        <w:t xml:space="preserve">we capture how often it occurs in the overall Google books corpus, the broadest available representation </w:t>
      </w:r>
      <w:r w:rsidRPr="00A341E4">
        <w:rPr>
          <w:sz w:val="20"/>
          <w:szCs w:val="18"/>
          <w:lang w:val="en-GB"/>
        </w:rPr>
        <w:lastRenderedPageBreak/>
        <w:t>of the general English language. 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2255C6">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49EC243F"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2255C6">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2255C6">
        <w:rPr>
          <w:sz w:val="20"/>
          <w:szCs w:val="18"/>
          <w:lang w:val="en-GB"/>
        </w:rPr>
        <w:t xml:space="preserve">more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 </w:t>
      </w:r>
      <w:proofErr w:type="gramStart"/>
      <w:r w:rsidR="00CD6A32" w:rsidRPr="00A341E4">
        <w:rPr>
          <w:sz w:val="20"/>
          <w:szCs w:val="18"/>
          <w:lang w:val="en-GB"/>
        </w:rPr>
        <w:t>and also</w:t>
      </w:r>
      <w:proofErr w:type="gramEnd"/>
      <w:r w:rsidR="00CD6A32" w:rsidRPr="00A341E4">
        <w:rPr>
          <w:sz w:val="20"/>
          <w:szCs w:val="18"/>
          <w:lang w:val="en-GB"/>
        </w:rPr>
        <w:t xml:space="preserve">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BD4357" w:rsidRPr="00BD4357">
        <w:rPr>
          <w:sz w:val="20"/>
          <w:szCs w:val="20"/>
          <w:lang w:val="en-GB"/>
        </w:rPr>
        <w:t xml:space="preserve">Figure </w:t>
      </w:r>
      <w:r w:rsidR="00BD4357" w:rsidRPr="00BD4357">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7358BA4A" w:rsidR="00CD6A32" w:rsidRPr="00A341E4" w:rsidRDefault="00CD6A32" w:rsidP="00CD6A32">
      <w:pPr>
        <w:pStyle w:val="Beschriftung"/>
        <w:keepLines/>
        <w:jc w:val="center"/>
        <w:rPr>
          <w:color w:val="auto"/>
          <w:sz w:val="20"/>
          <w:lang w:val="en-GB"/>
        </w:rPr>
      </w:pPr>
      <w:bookmarkStart w:id="16"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6"/>
      <w:r w:rsidRPr="00A341E4">
        <w:rPr>
          <w:color w:val="auto"/>
          <w:lang w:val="en-GB"/>
        </w:rPr>
        <w:t>: Language clarity indicators</w:t>
      </w:r>
    </w:p>
    <w:p w14:paraId="21982503" w14:textId="56785B3A"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communication is clearly and significantly harder to understand citizens when </w:t>
      </w:r>
      <w:r>
        <w:rPr>
          <w:sz w:val="20"/>
          <w:szCs w:val="18"/>
          <w:lang w:val="en-GB"/>
        </w:rPr>
        <w:t xml:space="preserve">compared to random messages </w:t>
      </w:r>
      <w:r w:rsidR="009975C1">
        <w:rPr>
          <w:sz w:val="20"/>
          <w:szCs w:val="18"/>
          <w:lang w:val="en-GB"/>
        </w:rPr>
        <w:t xml:space="preserve">on </w:t>
      </w:r>
      <w:r>
        <w:rPr>
          <w:sz w:val="20"/>
          <w:szCs w:val="18"/>
          <w:lang w:val="en-GB"/>
        </w:rPr>
        <w:t xml:space="preserve">Twitter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r w:rsidR="009975C1">
        <w:rPr>
          <w:sz w:val="20"/>
          <w:szCs w:val="18"/>
          <w:lang w:val="en-GB"/>
        </w:rPr>
        <w:fldChar w:fldCharType="begin"/>
      </w:r>
      <w:r w:rsidR="009975C1">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5FFB836F" w:rsidR="00CA02D3" w:rsidRDefault="007D0F40" w:rsidP="00CA02D3">
      <w:pPr>
        <w:spacing w:before="120" w:after="0" w:line="240" w:lineRule="auto"/>
        <w:jc w:val="both"/>
        <w:rPr>
          <w:sz w:val="20"/>
          <w:szCs w:val="18"/>
          <w:lang w:val="en-GB"/>
        </w:rPr>
      </w:pPr>
      <w:r>
        <w:rPr>
          <w:sz w:val="20"/>
          <w:szCs w:val="18"/>
          <w:lang w:val="en-GB"/>
        </w:rPr>
        <w:t xml:space="preserve">But </w:t>
      </w:r>
      <w:proofErr w:type="gramStart"/>
      <w:r>
        <w:rPr>
          <w:sz w:val="20"/>
          <w:szCs w:val="18"/>
          <w:lang w:val="en-GB"/>
        </w:rPr>
        <w:t>also</w:t>
      </w:r>
      <w:proofErr w:type="gramEnd"/>
      <w:r>
        <w:rPr>
          <w:sz w:val="20"/>
          <w:szCs w:val="18"/>
          <w:lang w:val="en-GB"/>
        </w:rPr>
        <w:t xml:space="preserve"> here, notable variation within the population of supranational accounts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1C85DEA9"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that users can exploit to attract attention and generate engagement with their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7C7A8CDB" w:rsidR="006B4C5B" w:rsidRPr="00A341E4" w:rsidRDefault="006B4C5B" w:rsidP="006B4C5B">
      <w:pPr>
        <w:pStyle w:val="Beschriftung"/>
        <w:keepLines/>
        <w:jc w:val="center"/>
        <w:rPr>
          <w:color w:val="auto"/>
          <w:sz w:val="20"/>
          <w:lang w:val="en-GB"/>
        </w:rPr>
      </w:pPr>
      <w:bookmarkStart w:id="17"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17"/>
      <w:r w:rsidRPr="00A341E4">
        <w:rPr>
          <w:color w:val="auto"/>
          <w:lang w:val="en-GB"/>
        </w:rPr>
        <w:t xml:space="preserve">: </w:t>
      </w:r>
      <w:r>
        <w:rPr>
          <w:color w:val="auto"/>
          <w:lang w:val="en-GB"/>
        </w:rPr>
        <w:t>Multimedia usage</w:t>
      </w:r>
    </w:p>
    <w:p w14:paraId="781A369B" w14:textId="77CD3A0B" w:rsidR="00697553" w:rsidRDefault="00697553" w:rsidP="00FC6904">
      <w:pPr>
        <w:spacing w:before="120" w:after="0" w:line="240" w:lineRule="auto"/>
        <w:jc w:val="both"/>
        <w:rPr>
          <w:sz w:val="20"/>
          <w:szCs w:val="18"/>
          <w:lang w:val="en-GB"/>
        </w:rPr>
      </w:pPr>
      <w:r>
        <w:rPr>
          <w:sz w:val="20"/>
          <w:szCs w:val="18"/>
          <w:lang w:val="en-GB"/>
        </w:rPr>
        <w:t xml:space="preserve">Twitter users can use pictures and graphic detail to highlight their messages in the timeline of other users. In the top left panel of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Pr>
          <w:sz w:val="20"/>
          <w:szCs w:val="20"/>
          <w:lang w:val="en-GB"/>
        </w:rPr>
        <w:t xml:space="preserve"> </w:t>
      </w:r>
      <w:r>
        <w:rPr>
          <w:sz w:val="20"/>
          <w:szCs w:val="18"/>
          <w:lang w:val="en-GB"/>
        </w:rPr>
        <w:t>we see that a</w:t>
      </w:r>
      <w:r w:rsidR="00173980">
        <w:rPr>
          <w:sz w:val="20"/>
          <w:szCs w:val="18"/>
          <w:lang w:val="en-GB"/>
        </w:rPr>
        <w:t>round 35 to 40% of all supranational tweets embed at least one picture. This clearly exceed</w:t>
      </w:r>
      <w:r>
        <w:rPr>
          <w:sz w:val="20"/>
          <w:szCs w:val="18"/>
          <w:lang w:val="en-GB"/>
        </w:rPr>
        <w:t>s</w:t>
      </w:r>
      <w:r w:rsidR="00173980">
        <w:rPr>
          <w:sz w:val="20"/>
          <w:szCs w:val="18"/>
          <w:lang w:val="en-GB"/>
        </w:rPr>
        <w:t xml:space="preserve"> picture usage in our sample of tweets from domestic political actors</w:t>
      </w:r>
      <w:r>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423D7AC7"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Pr="00697553">
        <w:rPr>
          <w:sz w:val="20"/>
          <w:szCs w:val="18"/>
          <w:lang w:val="en-US"/>
        </w:rP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Pr="00697553">
        <w:rPr>
          <w:sz w:val="20"/>
          <w:szCs w:val="18"/>
          <w:lang w:val="en-US"/>
        </w:rPr>
        <w:t>(Tang &amp;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537EA2" w:rsidRPr="006B4C5B">
        <w:rPr>
          <w:sz w:val="20"/>
          <w:szCs w:val="20"/>
          <w:lang w:val="en-GB"/>
        </w:rPr>
        <w:t xml:space="preserve">Figure </w:t>
      </w:r>
      <w:r w:rsidR="00537EA2" w:rsidRPr="006B4C5B">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 as well as various version of checkmark symbols.</w:t>
      </w:r>
    </w:p>
    <w:p w14:paraId="3D41D860" w14:textId="77777777"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the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Pr>
          <w:sz w:val="20"/>
          <w:szCs w:val="18"/>
          <w:lang w:val="en-GB"/>
        </w:rPr>
        <w:t xml:space="preserve">external websites are directly summarized in thumbnails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proofErr w:type="gramStart"/>
      <w:r>
        <w:rPr>
          <w:sz w:val="20"/>
          <w:szCs w:val="18"/>
          <w:lang w:val="en-GB"/>
        </w:rPr>
        <w:t>Also</w:t>
      </w:r>
      <w:proofErr w:type="gramEnd"/>
      <w:r>
        <w:rPr>
          <w:sz w:val="20"/>
          <w:szCs w:val="18"/>
          <w:lang w:val="en-GB"/>
        </w:rPr>
        <w:t xml:space="preserve"> with regard to this communication </w:t>
      </w:r>
      <w:r>
        <w:rPr>
          <w:sz w:val="20"/>
          <w:szCs w:val="18"/>
          <w:lang w:val="en-GB"/>
        </w:rPr>
        <w:lastRenderedPageBreak/>
        <w:t xml:space="preserve">feature, tweets from supranational EU actors are on par or even exceed domestic and international political actors. In about 60 to 80% of all supranational message on Twitter an external online source is referred to. </w:t>
      </w:r>
    </w:p>
    <w:p w14:paraId="12A635D4" w14:textId="1C427F44" w:rsidR="00560269" w:rsidRDefault="00560269" w:rsidP="00FC6904">
      <w:pPr>
        <w:spacing w:before="120" w:after="0" w:line="240" w:lineRule="auto"/>
        <w:jc w:val="both"/>
        <w:rPr>
          <w:sz w:val="20"/>
          <w:szCs w:val="18"/>
          <w:lang w:val="en-GB"/>
        </w:rPr>
      </w:pPr>
      <w:r>
        <w:rPr>
          <w:sz w:val="20"/>
          <w:szCs w:val="18"/>
          <w:lang w:val="en-GB"/>
        </w:rPr>
        <w:t>Where th</w:t>
      </w:r>
      <w:r w:rsidR="009C4088">
        <w:rPr>
          <w:sz w:val="20"/>
          <w:szCs w:val="18"/>
          <w:lang w:val="en-GB"/>
        </w:rPr>
        <w:t>ese</w:t>
      </w:r>
      <w:r>
        <w:rPr>
          <w:sz w:val="20"/>
          <w:szCs w:val="18"/>
          <w:lang w:val="en-GB"/>
        </w:rPr>
        <w:t xml:space="preserve"> links</w:t>
      </w:r>
      <w:r w:rsidR="002F3D47">
        <w:rPr>
          <w:sz w:val="20"/>
          <w:szCs w:val="18"/>
          <w:lang w:val="en-GB"/>
        </w:rPr>
        <w:t xml:space="preserve"> lead citizens to</w:t>
      </w:r>
      <w:r>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w:t>
      </w:r>
      <w:r w:rsidR="009C4088">
        <w:rPr>
          <w:sz w:val="20"/>
          <w:szCs w:val="18"/>
          <w:lang w:val="en-GB"/>
        </w:rPr>
        <w:t xml:space="preserve"> </w:t>
      </w:r>
      <w:r w:rsidR="002F3D47">
        <w:rPr>
          <w:sz w:val="20"/>
          <w:szCs w:val="18"/>
          <w:lang w:val="en-GB"/>
        </w:rPr>
        <w:t xml:space="preserve">A sizeable share of around 5% of external links point to other social media platforms, notably Facebook, LinkedIn, and Instagram where supranational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6D770398" w:rsidR="00697553" w:rsidRDefault="00CE24DD" w:rsidP="00FC6904">
      <w:pPr>
        <w:spacing w:before="120" w:after="0" w:line="240" w:lineRule="auto"/>
        <w:jc w:val="both"/>
        <w:rPr>
          <w:sz w:val="20"/>
          <w:szCs w:val="18"/>
          <w:lang w:val="en-GB"/>
        </w:rPr>
      </w:pPr>
      <w:r>
        <w:rPr>
          <w:sz w:val="20"/>
          <w:szCs w:val="18"/>
          <w:lang w:val="en-GB"/>
        </w:rPr>
        <w:t xml:space="preserve">Based on these </w:t>
      </w:r>
      <w:r w:rsidR="002F3D47">
        <w:rPr>
          <w:sz w:val="20"/>
          <w:szCs w:val="18"/>
          <w:lang w:val="en-GB"/>
        </w:rPr>
        <w:t>insights</w:t>
      </w:r>
      <w:r>
        <w:rPr>
          <w:sz w:val="20"/>
          <w:szCs w:val="18"/>
          <w:lang w:val="en-GB"/>
        </w:rPr>
        <w:t xml:space="preserve"> we can clearly state </w:t>
      </w:r>
      <w:r w:rsidR="00697553">
        <w:rPr>
          <w:sz w:val="20"/>
          <w:szCs w:val="18"/>
          <w:lang w:val="en-GB"/>
        </w:rPr>
        <w:t xml:space="preserve">- both in absolute and </w:t>
      </w:r>
      <w:r w:rsidR="002F3D47">
        <w:rPr>
          <w:sz w:val="20"/>
          <w:szCs w:val="18"/>
          <w:lang w:val="en-GB"/>
        </w:rPr>
        <w:t xml:space="preserve">in </w:t>
      </w:r>
      <w:r w:rsidR="00697553">
        <w:rPr>
          <w:sz w:val="20"/>
          <w:szCs w:val="18"/>
          <w:lang w:val="en-GB"/>
        </w:rPr>
        <w:t>relative term</w:t>
      </w:r>
      <w:r>
        <w:rPr>
          <w:sz w:val="20"/>
          <w:szCs w:val="18"/>
          <w:lang w:val="en-GB"/>
        </w:rPr>
        <w:t xml:space="preserve">s –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7FB81042" w14:textId="3368C2AF" w:rsidR="00697553" w:rsidRDefault="00697553" w:rsidP="00FC6904">
      <w:pPr>
        <w:spacing w:before="120" w:after="0" w:line="240" w:lineRule="auto"/>
        <w:jc w:val="both"/>
        <w:rPr>
          <w:sz w:val="20"/>
          <w:szCs w:val="18"/>
          <w:lang w:val="en-GB"/>
        </w:rPr>
      </w:pPr>
    </w:p>
    <w:p w14:paraId="21C44ACF" w14:textId="67491BDE" w:rsidR="00532D33" w:rsidRPr="00A341E4" w:rsidRDefault="00532D33" w:rsidP="00532D33">
      <w:pPr>
        <w:spacing w:before="120" w:after="0" w:line="240" w:lineRule="auto"/>
        <w:jc w:val="both"/>
        <w:rPr>
          <w:b/>
          <w:sz w:val="20"/>
          <w:szCs w:val="18"/>
          <w:lang w:val="en-GB"/>
        </w:rPr>
      </w:pPr>
      <w:r>
        <w:rPr>
          <w:b/>
          <w:sz w:val="20"/>
          <w:szCs w:val="18"/>
          <w:lang w:val="en-GB"/>
        </w:rPr>
        <w:t>4</w:t>
      </w:r>
      <w:r w:rsidRPr="00A341E4">
        <w:rPr>
          <w:b/>
          <w:sz w:val="20"/>
          <w:szCs w:val="18"/>
          <w:lang w:val="en-GB"/>
        </w:rPr>
        <w:t xml:space="preserve">. </w:t>
      </w:r>
      <w:r w:rsidR="002E534C">
        <w:rPr>
          <w:b/>
          <w:sz w:val="20"/>
          <w:szCs w:val="18"/>
          <w:lang w:val="en-GB"/>
        </w:rPr>
        <w:t xml:space="preserve">Supranational engagement </w:t>
      </w:r>
      <w:r>
        <w:rPr>
          <w:b/>
          <w:sz w:val="20"/>
          <w:szCs w:val="18"/>
          <w:lang w:val="en-GB"/>
        </w:rPr>
        <w:t>with the Twitter discourse</w:t>
      </w:r>
    </w:p>
    <w:p w14:paraId="088C29B6" w14:textId="77777777" w:rsidR="00532D33" w:rsidRDefault="00532D33" w:rsidP="00532D33">
      <w:pPr>
        <w:spacing w:after="0" w:line="240" w:lineRule="auto"/>
        <w:jc w:val="both"/>
        <w:rPr>
          <w:i/>
          <w:sz w:val="20"/>
          <w:szCs w:val="18"/>
          <w:lang w:val="en-GB"/>
        </w:rPr>
      </w:pPr>
    </w:p>
    <w:p w14:paraId="55B4170F" w14:textId="0D78EC52" w:rsidR="00532D33" w:rsidRPr="00D114D6" w:rsidRDefault="00532D33" w:rsidP="00D114D6">
      <w:pPr>
        <w:spacing w:before="120" w:after="0" w:line="240" w:lineRule="auto"/>
        <w:jc w:val="both"/>
        <w:rPr>
          <w:sz w:val="20"/>
          <w:szCs w:val="18"/>
          <w:lang w:val="en-GB"/>
        </w:rPr>
      </w:pPr>
    </w:p>
    <w:p w14:paraId="730EBB0F" w14:textId="21518767" w:rsidR="00532D33" w:rsidRPr="002E534C" w:rsidRDefault="002E534C" w:rsidP="002E534C">
      <w:pPr>
        <w:spacing w:before="120" w:after="0" w:line="240" w:lineRule="auto"/>
        <w:jc w:val="both"/>
        <w:rPr>
          <w:b/>
          <w:sz w:val="20"/>
          <w:szCs w:val="18"/>
          <w:lang w:val="en-GB"/>
        </w:rPr>
      </w:pPr>
      <w:r>
        <w:rPr>
          <w:b/>
          <w:sz w:val="20"/>
          <w:szCs w:val="18"/>
          <w:lang w:val="en-GB"/>
        </w:rPr>
        <w:t>5.</w:t>
      </w:r>
      <w:r w:rsidR="00532D33" w:rsidRPr="002E534C">
        <w:rPr>
          <w:b/>
          <w:sz w:val="20"/>
          <w:szCs w:val="18"/>
          <w:lang w:val="en-GB"/>
        </w:rPr>
        <w:t xml:space="preserve"> User engagement with supranational messages</w:t>
      </w:r>
    </w:p>
    <w:p w14:paraId="1CDE029C" w14:textId="36B19726" w:rsidR="00532D33" w:rsidRDefault="002E534C" w:rsidP="00D114D6">
      <w:pPr>
        <w:spacing w:before="120" w:after="0" w:line="240" w:lineRule="auto"/>
        <w:jc w:val="both"/>
        <w:rPr>
          <w:sz w:val="20"/>
          <w:szCs w:val="18"/>
          <w:lang w:val="en-GB"/>
        </w:rPr>
      </w:pPr>
      <w:r>
        <w:rPr>
          <w:sz w:val="20"/>
          <w:szCs w:val="18"/>
          <w:lang w:val="en-GB"/>
        </w:rPr>
        <w:t xml:space="preserve">A if not the crucial question for supranational public communication on social media is whether (citizen) users engage with the messages. A necessary condition for </w:t>
      </w:r>
      <w:r w:rsidR="004709BE">
        <w:rPr>
          <w:sz w:val="20"/>
          <w:szCs w:val="18"/>
          <w:lang w:val="en-GB"/>
        </w:rPr>
        <w:t>this</w:t>
      </w:r>
      <w:r>
        <w:rPr>
          <w:sz w:val="20"/>
          <w:szCs w:val="18"/>
          <w:lang w:val="en-GB"/>
        </w:rPr>
        <w:t xml:space="preserve"> is that many users see the message</w:t>
      </w:r>
      <w:r w:rsidR="004709BE">
        <w:rPr>
          <w:sz w:val="20"/>
          <w:szCs w:val="18"/>
          <w:lang w:val="en-GB"/>
        </w:rPr>
        <w:t>s in the first place</w:t>
      </w:r>
      <w:r>
        <w:rPr>
          <w:sz w:val="20"/>
          <w:szCs w:val="18"/>
          <w:lang w:val="en-GB"/>
        </w:rPr>
        <w:t xml:space="preserve">. Unfortunately, </w:t>
      </w:r>
      <w:r w:rsidR="004709BE">
        <w:rPr>
          <w:sz w:val="20"/>
          <w:szCs w:val="18"/>
          <w:lang w:val="en-GB"/>
        </w:rPr>
        <w:t>we cannot easily get reliable information on this. The research track API does not include the number of ‘impressions’ per tweet which is also only available for the last 60 days in commercial access options</w:t>
      </w:r>
      <w:r w:rsidR="00033892">
        <w:rPr>
          <w:sz w:val="20"/>
          <w:szCs w:val="18"/>
          <w:lang w:val="en-GB"/>
        </w:rPr>
        <w:t xml:space="preserve"> XXX</w:t>
      </w:r>
      <w:r w:rsidR="004709BE">
        <w:rPr>
          <w:sz w:val="20"/>
          <w:szCs w:val="18"/>
          <w:lang w:val="en-GB"/>
        </w:rPr>
        <w:t xml:space="preserve">.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 knowledge.</w:t>
      </w:r>
    </w:p>
    <w:p w14:paraId="4D66F1CE" w14:textId="77777777" w:rsidR="00926A1D" w:rsidRDefault="004709BE" w:rsidP="00D114D6">
      <w:pPr>
        <w:spacing w:before="120" w:after="0" w:line="240" w:lineRule="auto"/>
        <w:jc w:val="both"/>
        <w:rPr>
          <w:sz w:val="20"/>
          <w:szCs w:val="18"/>
          <w:lang w:val="en-GB"/>
        </w:rPr>
      </w:pPr>
      <w:r>
        <w:rPr>
          <w:sz w:val="20"/>
          <w:szCs w:val="18"/>
          <w:lang w:val="en-GB"/>
        </w:rPr>
        <w:t xml:space="preserve">What we know, however, is that the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came up with a hack exploiting the Internet Archive, a non-profit organisation working for free access to online information. Their archive.org engine crawls the world wide web and takes static, timestamped snapshots of individual sites. We set up automated scripts (available at </w:t>
      </w:r>
      <w:hyperlink r:id="rId18"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2354AA">
        <w:rPr>
          <w:sz w:val="20"/>
          <w:szCs w:val="18"/>
          <w:lang w:val="en-GB"/>
        </w:rPr>
        <w:t>which</w:t>
      </w:r>
      <w:r w:rsidR="00373035">
        <w:rPr>
          <w:sz w:val="20"/>
          <w:szCs w:val="18"/>
          <w:lang w:val="en-GB"/>
        </w:rPr>
        <w:t xml:space="preserve"> extract all available snapshots for </w:t>
      </w:r>
      <w:r w:rsidR="002354AA">
        <w:rPr>
          <w:sz w:val="20"/>
          <w:szCs w:val="18"/>
          <w:lang w:val="en-GB"/>
        </w:rPr>
        <w:t xml:space="preserve">each Twitter account in our samples to then scrape the follower count the raw html of </w:t>
      </w:r>
      <w:r w:rsidR="00033892">
        <w:rPr>
          <w:sz w:val="20"/>
          <w:szCs w:val="18"/>
          <w:lang w:val="en-GB"/>
        </w:rPr>
        <w:t>each snapshot (accounting for design changes on the Twitter page over time)</w:t>
      </w:r>
      <w:r w:rsidR="002354AA">
        <w:rPr>
          <w:sz w:val="20"/>
          <w:szCs w:val="18"/>
          <w:lang w:val="en-GB"/>
        </w:rPr>
        <w:t xml:space="preserve">. </w:t>
      </w:r>
    </w:p>
    <w:p w14:paraId="24D3D1FF" w14:textId="77777777" w:rsidR="0034145D" w:rsidRDefault="00926A1D" w:rsidP="00D114D6">
      <w:pPr>
        <w:spacing w:before="120" w:after="0" w:line="240" w:lineRule="auto"/>
        <w:jc w:val="both"/>
        <w:rPr>
          <w:sz w:val="20"/>
          <w:szCs w:val="18"/>
          <w:lang w:val="en-GB"/>
        </w:rPr>
      </w:pPr>
      <w:r>
        <w:rPr>
          <w:sz w:val="20"/>
          <w:szCs w:val="18"/>
          <w:lang w:val="en-GB"/>
        </w:rPr>
        <w:t xml:space="preserve">We must note, though, that the availability of archive.org snapshots is rather unequally distributed in our sample of 115 supranational EU accounts. While we can extract 842 </w:t>
      </w:r>
      <w:r w:rsidR="0034145D">
        <w:rPr>
          <w:sz w:val="20"/>
          <w:szCs w:val="18"/>
          <w:lang w:val="en-GB"/>
        </w:rPr>
        <w:t>snapshots</w:t>
      </w:r>
      <w:r>
        <w:rPr>
          <w:sz w:val="20"/>
          <w:szCs w:val="18"/>
          <w:lang w:val="en-GB"/>
        </w:rPr>
        <w:t xml:space="preserve"> of the @EU-Commission profile</w:t>
      </w:r>
      <w:r w:rsidR="0034145D">
        <w:rPr>
          <w:sz w:val="20"/>
          <w:szCs w:val="18"/>
          <w:lang w:val="en-GB"/>
        </w:rPr>
        <w:t>, 548 for @EUClimateAction, or 380 for @vonderleyen, there are five accounts with only one snapshots and seven that have never been crawled by archive.org. We thus linearly interpolate the daily number of followers between each measurement point, taking only the account creation date and the scraping date for those without snapshots. This is arguably not very precise, but the best possible data that we can think of. Figure XXX shows follower counts of supranational Twitter profiles over time.</w:t>
      </w: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717C0D0F" w14:textId="5DA00EFA" w:rsidR="002E5018" w:rsidRDefault="002E5018" w:rsidP="00D114D6">
      <w:pPr>
        <w:spacing w:before="120" w:after="0" w:line="240" w:lineRule="auto"/>
        <w:jc w:val="both"/>
        <w:rPr>
          <w:sz w:val="20"/>
          <w:szCs w:val="18"/>
          <w:lang w:val="en-GB"/>
        </w:rPr>
      </w:pPr>
    </w:p>
    <w:p w14:paraId="606B6A67" w14:textId="0840E448" w:rsidR="002E5018" w:rsidRDefault="002E5018" w:rsidP="00D114D6">
      <w:pPr>
        <w:spacing w:before="120" w:after="0" w:line="240" w:lineRule="auto"/>
        <w:jc w:val="both"/>
        <w:rPr>
          <w:sz w:val="20"/>
          <w:szCs w:val="18"/>
          <w:lang w:val="en-GB"/>
        </w:rPr>
      </w:pPr>
    </w:p>
    <w:p w14:paraId="3C824DBC" w14:textId="77777777" w:rsidR="002E5018" w:rsidRPr="00D114D6" w:rsidRDefault="002E5018" w:rsidP="00D114D6">
      <w:pPr>
        <w:spacing w:before="120" w:after="0" w:line="240" w:lineRule="auto"/>
        <w:jc w:val="both"/>
        <w:rPr>
          <w:sz w:val="20"/>
          <w:szCs w:val="18"/>
          <w:lang w:val="en-GB"/>
        </w:rPr>
      </w:pPr>
    </w:p>
    <w:p w14:paraId="7CD5F125" w14:textId="0D57B24E" w:rsidR="00532D33" w:rsidRPr="00D114D6" w:rsidRDefault="00532D33" w:rsidP="00D114D6">
      <w:pPr>
        <w:spacing w:before="120" w:after="0" w:line="240" w:lineRule="auto"/>
        <w:jc w:val="both"/>
        <w:rPr>
          <w:sz w:val="20"/>
          <w:szCs w:val="18"/>
          <w:lang w:val="en-GB"/>
        </w:rPr>
      </w:pPr>
    </w:p>
    <w:p w14:paraId="3FC5B858" w14:textId="4B578448" w:rsidR="00532D33" w:rsidRPr="00A341E4" w:rsidRDefault="002E534C" w:rsidP="00532D33">
      <w:pPr>
        <w:spacing w:before="120" w:after="0" w:line="240" w:lineRule="auto"/>
        <w:jc w:val="both"/>
        <w:rPr>
          <w:b/>
          <w:sz w:val="20"/>
          <w:szCs w:val="18"/>
          <w:lang w:val="en-GB"/>
        </w:rPr>
      </w:pPr>
      <w:r>
        <w:rPr>
          <w:b/>
          <w:sz w:val="20"/>
          <w:szCs w:val="18"/>
          <w:lang w:val="en-GB"/>
        </w:rPr>
        <w:t>6</w:t>
      </w:r>
      <w:r w:rsidR="00532D33">
        <w:rPr>
          <w:b/>
          <w:sz w:val="20"/>
          <w:szCs w:val="18"/>
          <w:lang w:val="en-GB"/>
        </w:rPr>
        <w:t>.</w:t>
      </w:r>
      <w:r w:rsidR="00532D33" w:rsidRPr="00A341E4">
        <w:rPr>
          <w:b/>
          <w:sz w:val="20"/>
          <w:szCs w:val="18"/>
          <w:lang w:val="en-GB"/>
        </w:rPr>
        <w:t xml:space="preserve"> </w:t>
      </w:r>
      <w:r w:rsidR="00532D33">
        <w:rPr>
          <w:b/>
          <w:sz w:val="20"/>
          <w:szCs w:val="18"/>
          <w:lang w:val="en-GB"/>
        </w:rPr>
        <w:t>Discussion and conclusions</w:t>
      </w:r>
    </w:p>
    <w:p w14:paraId="786023B0" w14:textId="77777777" w:rsidR="00532D33" w:rsidRPr="00D114D6" w:rsidRDefault="00532D33" w:rsidP="00D114D6">
      <w:pPr>
        <w:spacing w:before="120" w:after="0" w:line="240" w:lineRule="auto"/>
        <w:jc w:val="both"/>
        <w:rPr>
          <w:sz w:val="20"/>
          <w:szCs w:val="18"/>
          <w:lang w:val="en-GB"/>
        </w:rPr>
      </w:pPr>
    </w:p>
    <w:p w14:paraId="2FD70F18" w14:textId="22872DB1" w:rsidR="00D114D6" w:rsidRPr="00A341E4" w:rsidRDefault="002E534C" w:rsidP="00D114D6">
      <w:pPr>
        <w:spacing w:before="120" w:after="0" w:line="240" w:lineRule="auto"/>
        <w:jc w:val="both"/>
        <w:rPr>
          <w:b/>
          <w:sz w:val="20"/>
          <w:szCs w:val="18"/>
          <w:lang w:val="en-GB"/>
        </w:rPr>
      </w:pPr>
      <w:r>
        <w:rPr>
          <w:b/>
          <w:sz w:val="20"/>
          <w:szCs w:val="18"/>
          <w:lang w:val="en-GB"/>
        </w:rPr>
        <w:t>7</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5501785C" w14:textId="77777777" w:rsidR="00532D33" w:rsidRPr="00A341E4" w:rsidRDefault="00532D33" w:rsidP="00FC6904">
      <w:pPr>
        <w:spacing w:before="120" w:after="0" w:line="240" w:lineRule="auto"/>
        <w:jc w:val="both"/>
        <w:rPr>
          <w:sz w:val="20"/>
          <w:szCs w:val="18"/>
          <w:lang w:val="en-GB"/>
        </w:rPr>
      </w:pPr>
    </w:p>
    <w:p w14:paraId="725D79A6" w14:textId="34E0C3B7" w:rsidR="00615977" w:rsidRPr="00A341E4" w:rsidRDefault="00615977" w:rsidP="00FC6904">
      <w:pPr>
        <w:spacing w:before="120" w:after="0" w:line="240" w:lineRule="auto"/>
        <w:jc w:val="both"/>
        <w:rPr>
          <w:sz w:val="20"/>
          <w:szCs w:val="18"/>
          <w:lang w:val="en-GB"/>
        </w:rPr>
      </w:pPr>
    </w:p>
    <w:p w14:paraId="700EBAB5" w14:textId="77777777" w:rsidR="004100E3" w:rsidRPr="00A341E4" w:rsidRDefault="004100E3" w:rsidP="00652588">
      <w:pPr>
        <w:spacing w:after="120" w:line="240" w:lineRule="auto"/>
        <w:jc w:val="both"/>
        <w:rPr>
          <w:sz w:val="20"/>
          <w:szCs w:val="18"/>
          <w:lang w:val="en-GB"/>
        </w:rPr>
      </w:pPr>
      <w:r w:rsidRPr="00A341E4">
        <w:rPr>
          <w:sz w:val="20"/>
          <w:szCs w:val="18"/>
          <w:lang w:val="en-GB"/>
        </w:rPr>
        <w:t>1.1.1. This Is a Second Sub-Heading (Regular)</w:t>
      </w:r>
    </w:p>
    <w:sectPr w:rsidR="004100E3" w:rsidRPr="00A341E4" w:rsidSect="00CB0566">
      <w:headerReference w:type="default" r:id="rId20"/>
      <w:footerReference w:type="default" r:id="rId21"/>
      <w:headerReference w:type="first" r:id="rId22"/>
      <w:footerReference w:type="first" r:id="rId23"/>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1T17:42:00Z" w:initials="CR">
    <w:p w14:paraId="5C635070" w14:textId="317732E6" w:rsidR="00BC6502" w:rsidRDefault="00BC6502">
      <w:pPr>
        <w:pStyle w:val="Kommentartext"/>
      </w:pPr>
      <w:r>
        <w:rPr>
          <w:rStyle w:val="Kommentarzeichen"/>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1" w:author="Christian Rauh" w:date="2021-06-21T17:13:00Z" w:initials="CR">
    <w:p w14:paraId="20424142" w14:textId="271EBF13" w:rsidR="00B54B30" w:rsidRDefault="00B54B30">
      <w:pPr>
        <w:pStyle w:val="Kommentartext"/>
      </w:pPr>
      <w:r>
        <w:rPr>
          <w:rStyle w:val="Kommentarzeichen"/>
        </w:rPr>
        <w:annotationRef/>
      </w:r>
      <w:r>
        <w:t>Up to ten</w:t>
      </w:r>
      <w:r w:rsidR="00AD2F11">
        <w:t xml:space="preserve"> possible </w:t>
      </w:r>
      <w:r>
        <w:t xml:space="preserve"> – </w:t>
      </w:r>
      <w:r w:rsidR="00AD2F11">
        <w:t xml:space="preserve">Sina, please </w:t>
      </w:r>
      <w:r>
        <w:t>add what you want to be found for</w:t>
      </w:r>
    </w:p>
  </w:comment>
  <w:comment w:id="2" w:author="Christian Rauh" w:date="2021-06-21T21:37:00Z" w:initials="CR">
    <w:p w14:paraId="3672EA11" w14:textId="4FDB5C72" w:rsidR="005746CF" w:rsidRDefault="005746CF">
      <w:pPr>
        <w:pStyle w:val="Kommentartext"/>
      </w:pPr>
      <w:r>
        <w:rPr>
          <w:rStyle w:val="Kommentarzeichen"/>
        </w:rPr>
        <w:annotationRef/>
      </w:r>
      <w:r>
        <w:t>More recent, English refer</w:t>
      </w:r>
      <w:r w:rsidR="007319FF">
        <w:t>e</w:t>
      </w:r>
      <w:r>
        <w:t>nces – Hobolt/Tilley, Heinkelmann-Wild et al ?</w:t>
      </w:r>
    </w:p>
  </w:comment>
  <w:comment w:id="4" w:author="Christian Rauh" w:date="2021-06-21T23:11:00Z" w:initials="CR">
    <w:p w14:paraId="7307D8FA" w14:textId="16215A04" w:rsidR="00D0206E" w:rsidRDefault="00D0206E">
      <w:pPr>
        <w:pStyle w:val="Kommentartext"/>
      </w:pPr>
      <w:r>
        <w:rPr>
          <w:rStyle w:val="Kommentarzeichen"/>
        </w:rPr>
        <w:annotationRef/>
      </w:r>
      <w:r>
        <w:t>There was a ‘Wilde, 2019’ reference in here that I couldn’t identify</w:t>
      </w:r>
    </w:p>
  </w:comment>
  <w:comment w:id="5" w:author="Christian Rauh" w:date="2021-06-21T22:51:00Z" w:initials="CR">
    <w:p w14:paraId="2A9E08F9" w14:textId="77777777" w:rsidR="00F02D97" w:rsidRDefault="00F02D97" w:rsidP="00F02D97">
      <w:pPr>
        <w:pStyle w:val="Kommentartext"/>
        <w:rPr>
          <w:szCs w:val="18"/>
          <w:lang w:val="en-US"/>
        </w:rPr>
      </w:pPr>
      <w:r>
        <w:rPr>
          <w:rStyle w:val="Kommentarzeichen"/>
        </w:rPr>
        <w:annotationRef/>
      </w:r>
      <w:r>
        <w:t>I 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Kommentartext"/>
        <w:rPr>
          <w:szCs w:val="18"/>
          <w:lang w:val="en-US"/>
        </w:rPr>
      </w:pPr>
    </w:p>
    <w:p w14:paraId="4BA4A93B" w14:textId="04E66930" w:rsidR="00F02D97" w:rsidRDefault="00F02D97" w:rsidP="00F02D97">
      <w:pPr>
        <w:pStyle w:val="Kommentartext"/>
      </w:pPr>
      <w:proofErr w:type="gramStart"/>
      <w:r>
        <w:rPr>
          <w:szCs w:val="18"/>
          <w:lang w:val="en-US"/>
        </w:rPr>
        <w:t>Doesn’t</w:t>
      </w:r>
      <w:proofErr w:type="gramEnd"/>
      <w:r>
        <w:rPr>
          <w:szCs w:val="18"/>
          <w:lang w:val="en-US"/>
        </w:rPr>
        <w:t xml:space="preserve"> fit the flow here, I think, but we should pick up the point of scattered and voluminous info in the discussion – ok?</w:t>
      </w:r>
    </w:p>
  </w:comment>
  <w:comment w:id="7" w:author="Christian Rauh" w:date="2021-06-22T10:28:00Z" w:initials="CR">
    <w:p w14:paraId="6A7A9213" w14:textId="4D177475" w:rsidR="001665A9" w:rsidRDefault="001665A9">
      <w:pPr>
        <w:pStyle w:val="Kommentartext"/>
      </w:pPr>
      <w:r>
        <w:rPr>
          <w:rStyle w:val="Kommentarzeichen"/>
        </w:rPr>
        <w:annotationRef/>
      </w:r>
      <w:r>
        <w:t>IF you have something on the ‘double barrel’ this would be the place imho</w:t>
      </w:r>
    </w:p>
  </w:comment>
  <w:comment w:id="9" w:author="Christian Rauh" w:date="2021-06-22T10:45:00Z" w:initials="CR">
    <w:p w14:paraId="67877DFD" w14:textId="7FA534AB" w:rsidR="009873DB" w:rsidRDefault="009873DB">
      <w:pPr>
        <w:pStyle w:val="Kommentartext"/>
      </w:pPr>
      <w:r>
        <w:rPr>
          <w:rStyle w:val="Kommentarzeichen"/>
        </w:rPr>
        <w:annotationRef/>
      </w:r>
      <w:r>
        <w:t>Whatever exists needs to be very briefly</w:t>
      </w:r>
      <w:r w:rsidR="00F93DCA">
        <w:t xml:space="preserve"> discussed here (EP study on Council)</w:t>
      </w:r>
      <w:r>
        <w:t xml:space="preserve"> </w:t>
      </w:r>
    </w:p>
  </w:comment>
  <w:comment w:id="10" w:author="Christian Rauh" w:date="2021-06-22T10:58:00Z" w:initials="CR">
    <w:p w14:paraId="5798172C" w14:textId="02D1BDDC" w:rsidR="00F93DCA" w:rsidRDefault="00F93DCA">
      <w:pPr>
        <w:pStyle w:val="Kommentartext"/>
      </w:pPr>
      <w:r>
        <w:rPr>
          <w:rStyle w:val="Kommentarzeichen"/>
        </w:rPr>
        <w:annotationRef/>
      </w:r>
      <w:r>
        <w:t xml:space="preserve">IS there good lit on the political relevance of Twitter (in the EU)? Maybe one also gets Twitter penetration rates for EU countries, either from marketing statistics or </w:t>
      </w:r>
      <w:r w:rsidR="00347AD4">
        <w:t>survey estimates (EVS, WVS may have something)</w:t>
      </w:r>
    </w:p>
  </w:comment>
  <w:comment w:id="11" w:author="Christian Rauh" w:date="2021-06-22T11:18:00Z" w:initials="CR">
    <w:p w14:paraId="1565523D" w14:textId="584E06C3" w:rsidR="00013D14" w:rsidRDefault="00013D14">
      <w:pPr>
        <w:pStyle w:val="Kommentartext"/>
      </w:pPr>
      <w:r>
        <w:rPr>
          <w:rStyle w:val="Kommentarzeichen"/>
        </w:rPr>
        <w:annotationRef/>
      </w:r>
      <w:r>
        <w:t>Sina, I am plotting a bit of a drastic turn here (which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Kommentartext"/>
      </w:pPr>
    </w:p>
    <w:p w14:paraId="6B903AB4" w14:textId="77777777" w:rsidR="00625CE8" w:rsidRDefault="00625CE8">
      <w:pPr>
        <w:pStyle w:val="Kommentar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Kommentartext"/>
      </w:pPr>
    </w:p>
    <w:p w14:paraId="705608EF" w14:textId="77777777" w:rsidR="00625CE8" w:rsidRDefault="00625CE8">
      <w:pPr>
        <w:pStyle w:val="Kommentar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Kommentartext"/>
      </w:pPr>
    </w:p>
    <w:p w14:paraId="67CE627D" w14:textId="4DF82D89" w:rsidR="00625CE8" w:rsidRDefault="00625CE8">
      <w:pPr>
        <w:pStyle w:val="Kommentartext"/>
      </w:pPr>
      <w:r>
        <w:t xml:space="preserve">And very finally, I think good, encompassing description is a value in itself (and may motivate other researchers to go further later on,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12" w:author="Christian Rauh" w:date="2021-06-03T13:27:00Z" w:initials="CR">
    <w:p w14:paraId="5245076D" w14:textId="77777777" w:rsidR="00A233EF" w:rsidRDefault="00A233EF" w:rsidP="00A233EF">
      <w:pPr>
        <w:pStyle w:val="Kommentartext"/>
      </w:pPr>
      <w:r>
        <w:rPr>
          <w:rStyle w:val="Kommentarzeichen"/>
        </w:rPr>
        <w:annotationRef/>
      </w:r>
      <w:r>
        <w:t>Look up better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6A7A9213" w15:done="0"/>
  <w15:commentEx w15:paraId="67877DFD" w15:done="0"/>
  <w15:commentEx w15:paraId="5798172C" w15:done="0"/>
  <w15:commentEx w15:paraId="67CE627D" w15:done="0"/>
  <w15:commentEx w15:paraId="524507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7C39C8" w16cex:dateUtc="2021-06-22T08:28: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6A7A9213" w16cid:durableId="247C39C8"/>
  <w16cid:commentId w16cid:paraId="67877DFD" w16cid:durableId="247C3DC7"/>
  <w16cid:commentId w16cid:paraId="5798172C" w16cid:durableId="247C40C9"/>
  <w16cid:commentId w16cid:paraId="67CE627D" w16cid:durableId="247C4596"/>
  <w16cid:commentId w16cid:paraId="5245076D" w16cid:durableId="24635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3D43F" w14:textId="77777777" w:rsidR="003B2CE1" w:rsidRDefault="003B2CE1" w:rsidP="00675AF9">
      <w:pPr>
        <w:spacing w:after="0" w:line="240" w:lineRule="auto"/>
      </w:pPr>
      <w:r>
        <w:separator/>
      </w:r>
    </w:p>
  </w:endnote>
  <w:endnote w:type="continuationSeparator" w:id="0">
    <w:p w14:paraId="74E8B047" w14:textId="77777777" w:rsidR="003B2CE1" w:rsidRDefault="003B2CE1"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8DE97" w14:textId="77777777" w:rsidR="003B2CE1" w:rsidRDefault="003B2CE1" w:rsidP="00675AF9">
      <w:pPr>
        <w:spacing w:after="0" w:line="240" w:lineRule="auto"/>
      </w:pPr>
      <w:r>
        <w:separator/>
      </w:r>
    </w:p>
  </w:footnote>
  <w:footnote w:type="continuationSeparator" w:id="0">
    <w:p w14:paraId="3EB6CFC8" w14:textId="77777777" w:rsidR="003B2CE1" w:rsidRDefault="003B2CE1"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1167D"/>
    <w:rsid w:val="000129A6"/>
    <w:rsid w:val="00013D14"/>
    <w:rsid w:val="00017D89"/>
    <w:rsid w:val="00025B6E"/>
    <w:rsid w:val="000309ED"/>
    <w:rsid w:val="00033892"/>
    <w:rsid w:val="00037F16"/>
    <w:rsid w:val="00037F9A"/>
    <w:rsid w:val="00042904"/>
    <w:rsid w:val="000518BF"/>
    <w:rsid w:val="00051A1B"/>
    <w:rsid w:val="00067DE1"/>
    <w:rsid w:val="000756C9"/>
    <w:rsid w:val="00091B45"/>
    <w:rsid w:val="00091E38"/>
    <w:rsid w:val="000A0D2D"/>
    <w:rsid w:val="000A1A9E"/>
    <w:rsid w:val="000A6F49"/>
    <w:rsid w:val="000B3E98"/>
    <w:rsid w:val="000C6BB4"/>
    <w:rsid w:val="000C73E0"/>
    <w:rsid w:val="000D31D6"/>
    <w:rsid w:val="000E12A3"/>
    <w:rsid w:val="000E1CB6"/>
    <w:rsid w:val="00101DF3"/>
    <w:rsid w:val="00135B72"/>
    <w:rsid w:val="001455D2"/>
    <w:rsid w:val="001608EA"/>
    <w:rsid w:val="001665A9"/>
    <w:rsid w:val="00170723"/>
    <w:rsid w:val="00173980"/>
    <w:rsid w:val="0017781E"/>
    <w:rsid w:val="00193E2A"/>
    <w:rsid w:val="00193FA2"/>
    <w:rsid w:val="001A0BC1"/>
    <w:rsid w:val="001B065D"/>
    <w:rsid w:val="001C20F8"/>
    <w:rsid w:val="001C490E"/>
    <w:rsid w:val="001D7C47"/>
    <w:rsid w:val="001E08A5"/>
    <w:rsid w:val="001F014E"/>
    <w:rsid w:val="001F0999"/>
    <w:rsid w:val="00202163"/>
    <w:rsid w:val="0021323F"/>
    <w:rsid w:val="002140DD"/>
    <w:rsid w:val="002255C6"/>
    <w:rsid w:val="002354AA"/>
    <w:rsid w:val="002447F1"/>
    <w:rsid w:val="00261DD5"/>
    <w:rsid w:val="002762DB"/>
    <w:rsid w:val="00290453"/>
    <w:rsid w:val="00290D3B"/>
    <w:rsid w:val="002B045F"/>
    <w:rsid w:val="002B24F8"/>
    <w:rsid w:val="002B2795"/>
    <w:rsid w:val="002C7827"/>
    <w:rsid w:val="002E5018"/>
    <w:rsid w:val="002E534C"/>
    <w:rsid w:val="002E7307"/>
    <w:rsid w:val="002F3D47"/>
    <w:rsid w:val="003047D1"/>
    <w:rsid w:val="00306893"/>
    <w:rsid w:val="00317A71"/>
    <w:rsid w:val="00322DEE"/>
    <w:rsid w:val="0032361F"/>
    <w:rsid w:val="00323B59"/>
    <w:rsid w:val="0032673F"/>
    <w:rsid w:val="003275B8"/>
    <w:rsid w:val="0034145D"/>
    <w:rsid w:val="00347AD4"/>
    <w:rsid w:val="00347B58"/>
    <w:rsid w:val="003521FF"/>
    <w:rsid w:val="003537C5"/>
    <w:rsid w:val="0035437B"/>
    <w:rsid w:val="0036079B"/>
    <w:rsid w:val="0036492C"/>
    <w:rsid w:val="00365384"/>
    <w:rsid w:val="00367B7C"/>
    <w:rsid w:val="00373035"/>
    <w:rsid w:val="00394B13"/>
    <w:rsid w:val="003B2CE1"/>
    <w:rsid w:val="003C2342"/>
    <w:rsid w:val="003D5D02"/>
    <w:rsid w:val="003D789D"/>
    <w:rsid w:val="003E4EAB"/>
    <w:rsid w:val="003F7897"/>
    <w:rsid w:val="004100E3"/>
    <w:rsid w:val="00424129"/>
    <w:rsid w:val="00457108"/>
    <w:rsid w:val="00460218"/>
    <w:rsid w:val="004709BE"/>
    <w:rsid w:val="00470FA9"/>
    <w:rsid w:val="00490F14"/>
    <w:rsid w:val="00495CA9"/>
    <w:rsid w:val="004A01A1"/>
    <w:rsid w:val="004A4DF3"/>
    <w:rsid w:val="004F022B"/>
    <w:rsid w:val="005016A5"/>
    <w:rsid w:val="00501BC2"/>
    <w:rsid w:val="0050284E"/>
    <w:rsid w:val="00504392"/>
    <w:rsid w:val="00532D33"/>
    <w:rsid w:val="00537EA2"/>
    <w:rsid w:val="0054065E"/>
    <w:rsid w:val="00556793"/>
    <w:rsid w:val="005569BE"/>
    <w:rsid w:val="00560269"/>
    <w:rsid w:val="005638E7"/>
    <w:rsid w:val="00571BBD"/>
    <w:rsid w:val="0057200D"/>
    <w:rsid w:val="005746CF"/>
    <w:rsid w:val="0057716F"/>
    <w:rsid w:val="0058058B"/>
    <w:rsid w:val="00582374"/>
    <w:rsid w:val="005970EE"/>
    <w:rsid w:val="005B31BD"/>
    <w:rsid w:val="005B48BF"/>
    <w:rsid w:val="005B5BD1"/>
    <w:rsid w:val="005B7EC7"/>
    <w:rsid w:val="005D4A7B"/>
    <w:rsid w:val="005E5C2B"/>
    <w:rsid w:val="005F0AB9"/>
    <w:rsid w:val="00603552"/>
    <w:rsid w:val="0060553C"/>
    <w:rsid w:val="00615977"/>
    <w:rsid w:val="0062037D"/>
    <w:rsid w:val="00625CE8"/>
    <w:rsid w:val="00632089"/>
    <w:rsid w:val="00634B26"/>
    <w:rsid w:val="0064153D"/>
    <w:rsid w:val="0064749A"/>
    <w:rsid w:val="00652588"/>
    <w:rsid w:val="006618F2"/>
    <w:rsid w:val="00664985"/>
    <w:rsid w:val="0067013A"/>
    <w:rsid w:val="00675AF9"/>
    <w:rsid w:val="00697553"/>
    <w:rsid w:val="006A1C16"/>
    <w:rsid w:val="006B3083"/>
    <w:rsid w:val="006B4A79"/>
    <w:rsid w:val="006B4C5B"/>
    <w:rsid w:val="006B7B55"/>
    <w:rsid w:val="006E0B8C"/>
    <w:rsid w:val="006E17DF"/>
    <w:rsid w:val="006F10F9"/>
    <w:rsid w:val="006F170E"/>
    <w:rsid w:val="006F47EB"/>
    <w:rsid w:val="00701E9C"/>
    <w:rsid w:val="00702831"/>
    <w:rsid w:val="0070303C"/>
    <w:rsid w:val="007201C2"/>
    <w:rsid w:val="007319FF"/>
    <w:rsid w:val="00744334"/>
    <w:rsid w:val="00775040"/>
    <w:rsid w:val="00776AA0"/>
    <w:rsid w:val="00777349"/>
    <w:rsid w:val="00786D20"/>
    <w:rsid w:val="007946F6"/>
    <w:rsid w:val="00795D0B"/>
    <w:rsid w:val="007972D3"/>
    <w:rsid w:val="007A7CBA"/>
    <w:rsid w:val="007D0F40"/>
    <w:rsid w:val="007D1D8F"/>
    <w:rsid w:val="007E686B"/>
    <w:rsid w:val="007F4E91"/>
    <w:rsid w:val="00805BA4"/>
    <w:rsid w:val="00840DDB"/>
    <w:rsid w:val="00856614"/>
    <w:rsid w:val="00872B05"/>
    <w:rsid w:val="008828BA"/>
    <w:rsid w:val="00884891"/>
    <w:rsid w:val="008873E6"/>
    <w:rsid w:val="00893C5E"/>
    <w:rsid w:val="008951BA"/>
    <w:rsid w:val="008A6FB2"/>
    <w:rsid w:val="008B08D0"/>
    <w:rsid w:val="008C4CB2"/>
    <w:rsid w:val="008D77CF"/>
    <w:rsid w:val="008E5FF2"/>
    <w:rsid w:val="00900B9E"/>
    <w:rsid w:val="009018DD"/>
    <w:rsid w:val="009019A4"/>
    <w:rsid w:val="00917E73"/>
    <w:rsid w:val="00924BC5"/>
    <w:rsid w:val="00926A1D"/>
    <w:rsid w:val="009315E0"/>
    <w:rsid w:val="00936944"/>
    <w:rsid w:val="0093719C"/>
    <w:rsid w:val="00941197"/>
    <w:rsid w:val="00954DDD"/>
    <w:rsid w:val="00957ED1"/>
    <w:rsid w:val="00965014"/>
    <w:rsid w:val="009734C4"/>
    <w:rsid w:val="009762A1"/>
    <w:rsid w:val="00982672"/>
    <w:rsid w:val="009840DC"/>
    <w:rsid w:val="00986720"/>
    <w:rsid w:val="009873DB"/>
    <w:rsid w:val="009946EC"/>
    <w:rsid w:val="00996A8C"/>
    <w:rsid w:val="009975C1"/>
    <w:rsid w:val="009A2277"/>
    <w:rsid w:val="009A4251"/>
    <w:rsid w:val="009B522E"/>
    <w:rsid w:val="009B604D"/>
    <w:rsid w:val="009C4088"/>
    <w:rsid w:val="009C52A7"/>
    <w:rsid w:val="009C6D4B"/>
    <w:rsid w:val="009E1560"/>
    <w:rsid w:val="00A118CE"/>
    <w:rsid w:val="00A233EF"/>
    <w:rsid w:val="00A2429B"/>
    <w:rsid w:val="00A2458C"/>
    <w:rsid w:val="00A27792"/>
    <w:rsid w:val="00A31E7D"/>
    <w:rsid w:val="00A341E4"/>
    <w:rsid w:val="00A47577"/>
    <w:rsid w:val="00A52755"/>
    <w:rsid w:val="00A5718E"/>
    <w:rsid w:val="00A71F03"/>
    <w:rsid w:val="00A73EDD"/>
    <w:rsid w:val="00A76AE3"/>
    <w:rsid w:val="00A8792E"/>
    <w:rsid w:val="00AB3CAE"/>
    <w:rsid w:val="00AB6DA4"/>
    <w:rsid w:val="00AC0900"/>
    <w:rsid w:val="00AC4774"/>
    <w:rsid w:val="00AC4879"/>
    <w:rsid w:val="00AC7F9F"/>
    <w:rsid w:val="00AD06FC"/>
    <w:rsid w:val="00AD2F11"/>
    <w:rsid w:val="00AF3C2D"/>
    <w:rsid w:val="00AF745E"/>
    <w:rsid w:val="00B02F28"/>
    <w:rsid w:val="00B12F0D"/>
    <w:rsid w:val="00B21829"/>
    <w:rsid w:val="00B2216D"/>
    <w:rsid w:val="00B26D46"/>
    <w:rsid w:val="00B30D75"/>
    <w:rsid w:val="00B41D37"/>
    <w:rsid w:val="00B54B30"/>
    <w:rsid w:val="00B71BB5"/>
    <w:rsid w:val="00B81CCD"/>
    <w:rsid w:val="00B829A6"/>
    <w:rsid w:val="00B85972"/>
    <w:rsid w:val="00B867EC"/>
    <w:rsid w:val="00B937F8"/>
    <w:rsid w:val="00BA5FAA"/>
    <w:rsid w:val="00BB4FF5"/>
    <w:rsid w:val="00BC349F"/>
    <w:rsid w:val="00BC6502"/>
    <w:rsid w:val="00BD4357"/>
    <w:rsid w:val="00BF776C"/>
    <w:rsid w:val="00C00E50"/>
    <w:rsid w:val="00C0350A"/>
    <w:rsid w:val="00C0633D"/>
    <w:rsid w:val="00C10970"/>
    <w:rsid w:val="00C132C3"/>
    <w:rsid w:val="00C138C8"/>
    <w:rsid w:val="00C14E54"/>
    <w:rsid w:val="00C1579C"/>
    <w:rsid w:val="00C169D3"/>
    <w:rsid w:val="00C249BD"/>
    <w:rsid w:val="00C40F10"/>
    <w:rsid w:val="00C438D5"/>
    <w:rsid w:val="00C43FA7"/>
    <w:rsid w:val="00C4746F"/>
    <w:rsid w:val="00C50726"/>
    <w:rsid w:val="00C557DA"/>
    <w:rsid w:val="00C6346E"/>
    <w:rsid w:val="00C73765"/>
    <w:rsid w:val="00C742A4"/>
    <w:rsid w:val="00C77C3D"/>
    <w:rsid w:val="00C80C81"/>
    <w:rsid w:val="00C86D17"/>
    <w:rsid w:val="00CA02D3"/>
    <w:rsid w:val="00CA0571"/>
    <w:rsid w:val="00CB0566"/>
    <w:rsid w:val="00CB0832"/>
    <w:rsid w:val="00CC0D43"/>
    <w:rsid w:val="00CC2FF8"/>
    <w:rsid w:val="00CD4486"/>
    <w:rsid w:val="00CD6A32"/>
    <w:rsid w:val="00CE01FD"/>
    <w:rsid w:val="00CE1033"/>
    <w:rsid w:val="00CE24DD"/>
    <w:rsid w:val="00CE4F88"/>
    <w:rsid w:val="00CF046B"/>
    <w:rsid w:val="00CF0B1D"/>
    <w:rsid w:val="00CF2D5F"/>
    <w:rsid w:val="00D002B6"/>
    <w:rsid w:val="00D0206E"/>
    <w:rsid w:val="00D114D6"/>
    <w:rsid w:val="00D165AA"/>
    <w:rsid w:val="00D51654"/>
    <w:rsid w:val="00D70D19"/>
    <w:rsid w:val="00D7534D"/>
    <w:rsid w:val="00D81870"/>
    <w:rsid w:val="00D84E76"/>
    <w:rsid w:val="00D92073"/>
    <w:rsid w:val="00DA23F9"/>
    <w:rsid w:val="00DB0C73"/>
    <w:rsid w:val="00DC007E"/>
    <w:rsid w:val="00DC59DC"/>
    <w:rsid w:val="00DC5FAB"/>
    <w:rsid w:val="00DD18DA"/>
    <w:rsid w:val="00DD7CDF"/>
    <w:rsid w:val="00DE1033"/>
    <w:rsid w:val="00DE55CF"/>
    <w:rsid w:val="00DE6B51"/>
    <w:rsid w:val="00E16B33"/>
    <w:rsid w:val="00E21BB3"/>
    <w:rsid w:val="00E352E9"/>
    <w:rsid w:val="00E665B7"/>
    <w:rsid w:val="00E83E0A"/>
    <w:rsid w:val="00E9564E"/>
    <w:rsid w:val="00EA22FB"/>
    <w:rsid w:val="00EE54E7"/>
    <w:rsid w:val="00F02D97"/>
    <w:rsid w:val="00F12A8E"/>
    <w:rsid w:val="00F15B93"/>
    <w:rsid w:val="00F7216E"/>
    <w:rsid w:val="00F76CC4"/>
    <w:rsid w:val="00F84696"/>
    <w:rsid w:val="00F85AE2"/>
    <w:rsid w:val="00F924FF"/>
    <w:rsid w:val="00F93DCA"/>
    <w:rsid w:val="00FA2ABF"/>
    <w:rsid w:val="00FB1398"/>
    <w:rsid w:val="00FC6904"/>
    <w:rsid w:val="00FD549A"/>
    <w:rsid w:val="00F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hyperlink" Target="https://github.com/ChRauh/PastTwit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http://www.christian-rauh.e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14250</Words>
  <Characters>89781</Characters>
  <Application>Microsoft Office Word</Application>
  <DocSecurity>0</DocSecurity>
  <Lines>748</Lines>
  <Paragraphs>207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103824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6</cp:revision>
  <cp:lastPrinted>2017-01-27T12:24:00Z</cp:lastPrinted>
  <dcterms:created xsi:type="dcterms:W3CDTF">2021-06-24T06:55:00Z</dcterms:created>
  <dcterms:modified xsi:type="dcterms:W3CDTF">2021-06-24T16:36:00Z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id="PzvmnhM3"/&gt;&lt;style id="http://www.zotero.org/styles/journal-of-european-public-policy"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