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DC2A6E3"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European Union; social media; political communication; politicization; text analysis; ...</w:t>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8959826"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xml:space="preserve">.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A74E6B">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especially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2DFA1260"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7319FF" w:rsidRPr="00C72046">
        <w:rPr>
          <w:sz w:val="20"/>
          <w:szCs w:val="18"/>
          <w:lang w:val="en-GB"/>
        </w:rPr>
        <w:t xml:space="preserve">Faced with </w:t>
      </w:r>
      <w:r w:rsidR="00701E9C" w:rsidRPr="00C72046">
        <w:rPr>
          <w:sz w:val="20"/>
          <w:szCs w:val="18"/>
          <w:lang w:val="en-GB"/>
        </w:rPr>
        <w:t xml:space="preserve">public politicization, 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897810">
        <w:rPr>
          <w:sz w:val="20"/>
          <w:szCs w:val="18"/>
          <w:lang w:val="en-GB"/>
        </w:rPr>
        <w: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3CE11976" w:rsidR="002E7307" w:rsidRPr="0010619A" w:rsidRDefault="007319FF" w:rsidP="006E17DF">
      <w:pPr>
        <w:spacing w:before="120" w:after="0" w:line="240" w:lineRule="auto"/>
        <w:jc w:val="both"/>
        <w:rPr>
          <w:sz w:val="20"/>
          <w:szCs w:val="18"/>
          <w:lang w:val="fr-FR"/>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897810">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897810">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often rather inaccessible to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instrText>
      </w:r>
      <w:r w:rsidR="0076658E" w:rsidRPr="0010619A">
        <w:rPr>
          <w:sz w:val="20"/>
          <w:szCs w:val="18"/>
          <w:lang w:val="fr-FR"/>
        </w:rPr>
        <w: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10619A">
        <w:rPr>
          <w:sz w:val="20"/>
          <w:szCs w:val="18"/>
          <w:lang w:val="fr-FR"/>
        </w:rPr>
        <w:t xml:space="preserve">. </w:t>
      </w:r>
    </w:p>
    <w:p w14:paraId="73C29382" w14:textId="00D60B3B" w:rsidR="00091B45" w:rsidRPr="00A341E4" w:rsidRDefault="00457108" w:rsidP="00457108">
      <w:pPr>
        <w:spacing w:before="120" w:after="0" w:line="240" w:lineRule="auto"/>
        <w:jc w:val="both"/>
        <w:rPr>
          <w:sz w:val="20"/>
          <w:szCs w:val="18"/>
          <w:lang w:val="en-GB"/>
        </w:rPr>
      </w:pPr>
      <w:r w:rsidRPr="00CD5DB4">
        <w:rPr>
          <w:sz w:val="20"/>
          <w:szCs w:val="18"/>
          <w:lang w:val="en-US"/>
        </w:rPr>
        <w:t xml:space="preserve">Beyond internal constraints, supranational institutions </w:t>
      </w:r>
      <w:r w:rsidR="008074B6" w:rsidRPr="00CD5DB4">
        <w:rPr>
          <w:sz w:val="20"/>
          <w:szCs w:val="18"/>
          <w:lang w:val="en-US"/>
        </w:rPr>
        <w:t xml:space="preserve">also </w:t>
      </w:r>
      <w:r w:rsidRPr="00CD5DB4">
        <w:rPr>
          <w:sz w:val="20"/>
          <w:szCs w:val="18"/>
          <w:lang w:val="en-US"/>
        </w:rPr>
        <w:t xml:space="preserve">face notable communication obstacles in </w:t>
      </w:r>
      <w:r w:rsidR="0010619A" w:rsidRPr="00CD5DB4">
        <w:rPr>
          <w:sz w:val="20"/>
          <w:szCs w:val="18"/>
          <w:lang w:val="en-US"/>
        </w:rPr>
        <w:t>the</w:t>
      </w:r>
      <w:r w:rsidR="00CD5DB4" w:rsidRPr="00CD5DB4">
        <w:rPr>
          <w:sz w:val="20"/>
          <w:szCs w:val="18"/>
          <w:lang w:val="en-US"/>
        </w:rPr>
        <w:t xml:space="preserve"> broader</w:t>
      </w:r>
      <w:r w:rsidR="0010619A" w:rsidRPr="00CD5DB4">
        <w:rPr>
          <w:sz w:val="20"/>
          <w:szCs w:val="18"/>
          <w:lang w:val="en-US"/>
        </w:rPr>
        <w:t xml:space="preserve"> communication</w:t>
      </w:r>
      <w:r w:rsidRPr="00CD5DB4">
        <w:rPr>
          <w:sz w:val="20"/>
          <w:szCs w:val="18"/>
          <w:lang w:val="en-US"/>
        </w:rPr>
        <w:t xml:space="preserve"> environment</w:t>
      </w:r>
      <w:r w:rsidR="002E7307" w:rsidRPr="00CD5DB4">
        <w:rPr>
          <w:sz w:val="20"/>
          <w:szCs w:val="18"/>
          <w:lang w:val="en-US"/>
        </w:rPr>
        <w:t xml:space="preserve">. </w:t>
      </w:r>
      <w:r w:rsidR="002E7307" w:rsidRPr="00A341E4">
        <w:rPr>
          <w:sz w:val="20"/>
          <w:szCs w:val="18"/>
          <w:lang w:val="en-GB"/>
        </w:rPr>
        <w:t>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and media systems</w:t>
      </w:r>
      <w:r w:rsidR="00CD5DB4">
        <w:rPr>
          <w:sz w:val="20"/>
          <w:szCs w:val="18"/>
          <w:lang w:val="en-GB"/>
        </w:rPr>
        <w:t>, thus forcing supranational institutions to communicate via national media</w:t>
      </w:r>
      <w:r w:rsidR="0057200D" w:rsidRPr="00A341E4">
        <w:rPr>
          <w:sz w:val="20"/>
          <w:szCs w:val="18"/>
          <w:lang w:val="en-GB"/>
        </w:rPr>
        <w:t xml:space="preserve">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w:t>
      </w:r>
      <w:r w:rsidR="00450389">
        <w:rPr>
          <w:sz w:val="20"/>
          <w:szCs w:val="18"/>
          <w:lang w:val="en-GB"/>
        </w:rPr>
        <w:t>,</w:t>
      </w:r>
      <w:r w:rsidRPr="00A341E4">
        <w:rPr>
          <w:sz w:val="20"/>
          <w:szCs w:val="18"/>
          <w:lang w:val="en-GB"/>
        </w:rPr>
        <w:t xml:space="preserve"> </w:t>
      </w:r>
      <w:r w:rsidR="00450389">
        <w:rPr>
          <w:sz w:val="20"/>
          <w:szCs w:val="18"/>
          <w:lang w:val="en-GB"/>
        </w:rPr>
        <w:t>however,</w:t>
      </w:r>
      <w:r w:rsidR="004A4DF3" w:rsidRPr="00A341E4">
        <w:rPr>
          <w:sz w:val="20"/>
          <w:szCs w:val="18"/>
          <w:lang w:val="en-GB"/>
        </w:rPr>
        <w:t xml:space="preserve"> </w:t>
      </w:r>
      <w:r w:rsidRPr="00A341E4">
        <w:rPr>
          <w:sz w:val="20"/>
          <w:szCs w:val="18"/>
          <w:lang w:val="en-GB"/>
        </w:rPr>
        <w:t xml:space="preserve">rather selective in covering EU affairs where traditional journalistic selection logics often </w:t>
      </w:r>
      <w:r w:rsidR="009067AC">
        <w:rPr>
          <w:sz w:val="20"/>
          <w:szCs w:val="18"/>
          <w:lang w:val="en-GB"/>
        </w:rPr>
        <w:t>partial</w:t>
      </w:r>
      <w:r w:rsidRPr="00A341E4">
        <w:rPr>
          <w:sz w:val="20"/>
          <w:szCs w:val="18"/>
          <w:lang w:val="en-GB"/>
        </w:rPr>
        <w:t xml:space="preserve"> to national interest</w:t>
      </w:r>
      <w:r w:rsidR="00D0206E" w:rsidRPr="00A341E4">
        <w:rPr>
          <w:sz w:val="20"/>
          <w:szCs w:val="18"/>
          <w:lang w:val="en-GB"/>
        </w:rPr>
        <w:t>s</w:t>
      </w:r>
      <w:r w:rsidRPr="00A341E4">
        <w:rPr>
          <w:sz w:val="20"/>
          <w:szCs w:val="18"/>
          <w:lang w:val="en-GB"/>
        </w:rPr>
        <w:t>, domestic executives</w:t>
      </w:r>
      <w:r w:rsidR="007F21B5">
        <w:rPr>
          <w:sz w:val="20"/>
          <w:szCs w:val="18"/>
          <w:lang w:val="en-GB"/>
        </w:rPr>
        <w:t>,</w:t>
      </w:r>
      <w:r w:rsidRPr="00A341E4">
        <w:rPr>
          <w:sz w:val="20"/>
          <w:szCs w:val="18"/>
          <w:lang w:val="en-GB"/>
        </w:rPr>
        <w:t xml:space="preserve">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Pr="00A341E4">
        <w:rPr>
          <w:sz w:val="20"/>
          <w:szCs w:val="18"/>
          <w:lang w:val="en-GB"/>
        </w:rPr>
        <w:t>edia coverage of the EU is</w:t>
      </w:r>
      <w:r w:rsidR="009067AC">
        <w:rPr>
          <w:sz w:val="20"/>
          <w:szCs w:val="18"/>
          <w:lang w:val="en-GB"/>
        </w:rPr>
        <w:t xml:space="preserve"> then</w:t>
      </w:r>
      <w:r w:rsidRPr="00A341E4">
        <w:rPr>
          <w:sz w:val="20"/>
          <w:szCs w:val="18"/>
          <w:lang w:val="en-GB"/>
        </w:rPr>
        <w:t xml:space="preserve">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897810">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4D2367">
        <w:rPr>
          <w:sz w:val="20"/>
          <w:szCs w:val="18"/>
          <w:lang w:val="en-GB"/>
        </w:rPr>
        <w:t>T</w:t>
      </w:r>
      <w:r w:rsidR="00D0206E" w:rsidRPr="00F61ADB">
        <w:rPr>
          <w:sz w:val="20"/>
          <w:szCs w:val="18"/>
          <w:lang w:val="en-GB"/>
        </w:rPr>
        <w:t>hus, supranational institutions have a hard time to get their message across</w:t>
      </w:r>
      <w:r w:rsidR="004D2367">
        <w:rPr>
          <w:sz w:val="20"/>
          <w:szCs w:val="18"/>
          <w:lang w:val="en-GB"/>
        </w:rPr>
        <w:t xml:space="preserve"> via traditional media</w:t>
      </w:r>
      <w:r w:rsidR="006547B2">
        <w:rPr>
          <w:sz w:val="20"/>
          <w:szCs w:val="18"/>
          <w:lang w:val="en-GB"/>
        </w:rPr>
        <w:t xml:space="preserve"> channels</w:t>
      </w:r>
      <w:r w:rsidR="00D0206E" w:rsidRPr="00F61ADB">
        <w:rPr>
          <w:sz w:val="20"/>
          <w:szCs w:val="18"/>
          <w:lang w:val="en-GB"/>
        </w:rPr>
        <w:t>.</w:t>
      </w:r>
    </w:p>
    <w:p w14:paraId="4906D443" w14:textId="7727AED9" w:rsidR="001665A9" w:rsidRPr="00F61ADB" w:rsidRDefault="001665A9" w:rsidP="003275B8">
      <w:pPr>
        <w:spacing w:before="120" w:after="0" w:line="240" w:lineRule="auto"/>
        <w:jc w:val="both"/>
        <w:rPr>
          <w:sz w:val="20"/>
          <w:szCs w:val="18"/>
          <w:lang w:val="en-US"/>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promising </w:t>
      </w:r>
      <w:r w:rsidR="007F21B5">
        <w:rPr>
          <w:sz w:val="20"/>
          <w:szCs w:val="18"/>
          <w:lang w:val="en-GB"/>
        </w:rPr>
        <w:t xml:space="preserve">communication </w:t>
      </w:r>
      <w:r w:rsidR="004A4DF3" w:rsidRPr="00A341E4">
        <w:rPr>
          <w:sz w:val="20"/>
          <w:szCs w:val="18"/>
          <w:lang w:val="en-GB"/>
        </w:rPr>
        <w:t>channel</w:t>
      </w:r>
      <w:r w:rsidR="006547B2">
        <w:rPr>
          <w:sz w:val="20"/>
          <w:szCs w:val="18"/>
          <w:lang w:val="en-GB"/>
        </w:rPr>
        <w:t>s</w:t>
      </w:r>
      <w:r w:rsidR="004A4DF3" w:rsidRPr="00A341E4">
        <w:rPr>
          <w:sz w:val="20"/>
          <w:szCs w:val="18"/>
          <w:lang w:val="en-GB"/>
        </w:rPr>
        <w:t xml:space="preserve"> </w:t>
      </w:r>
      <w:r w:rsidRPr="00A341E4">
        <w:rPr>
          <w:sz w:val="20"/>
          <w:szCs w:val="18"/>
          <w:lang w:val="en-GB"/>
        </w:rPr>
        <w:t xml:space="preserve">for supranational </w:t>
      </w:r>
      <w:r w:rsidR="007F21B5">
        <w:rPr>
          <w:sz w:val="20"/>
          <w:szCs w:val="18"/>
          <w:lang w:val="en-GB"/>
        </w:rPr>
        <w:t>actors</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(Bossetta et al., 2017)</w:t>
      </w:r>
      <w:r w:rsidR="006547B2">
        <w:rPr>
          <w:sz w:val="20"/>
          <w:szCs w:val="18"/>
          <w:lang w:val="en-GB"/>
        </w:rPr>
        <w:t xml:space="preserve">, thus potentially </w:t>
      </w:r>
      <w:r w:rsidR="00F53338">
        <w:rPr>
          <w:sz w:val="20"/>
          <w:szCs w:val="18"/>
          <w:lang w:val="en-GB"/>
        </w:rPr>
        <w:t>ameliorate adverse effects of</w:t>
      </w:r>
      <w:r w:rsidR="005D43D0">
        <w:rPr>
          <w:sz w:val="20"/>
          <w:szCs w:val="18"/>
          <w:lang w:val="en-GB"/>
        </w:rPr>
        <w:t xml:space="preserve"> fractured public spheres</w:t>
      </w:r>
      <w:r w:rsidR="00091B45" w:rsidRPr="00A341E4">
        <w:rPr>
          <w:sz w:val="20"/>
          <w:szCs w:val="18"/>
          <w:lang w:val="en-GB"/>
        </w:rPr>
        <w:t>.</w:t>
      </w:r>
      <w:r w:rsidR="00CE7CE8">
        <w:rPr>
          <w:sz w:val="20"/>
          <w:szCs w:val="18"/>
          <w:lang w:val="en-GB"/>
        </w:rPr>
        <w:t xml:space="preserve"> Furthermore,</w:t>
      </w:r>
      <w:r w:rsidR="00091B45" w:rsidRPr="00A341E4">
        <w:rPr>
          <w:sz w:val="20"/>
          <w:szCs w:val="18"/>
          <w:lang w:val="en-GB"/>
        </w:rPr>
        <w:t xml:space="preserve"> </w:t>
      </w:r>
      <w:r w:rsidR="00CE7CE8">
        <w:rPr>
          <w:sz w:val="20"/>
          <w:szCs w:val="18"/>
          <w:lang w:val="en-GB"/>
        </w:rPr>
        <w:t>s</w:t>
      </w:r>
      <w:r w:rsidR="00C138C8" w:rsidRPr="00A341E4">
        <w:rPr>
          <w:sz w:val="20"/>
          <w:szCs w:val="18"/>
          <w:lang w:val="en-GB"/>
        </w:rPr>
        <w:t xml:space="preserve">ocial media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and to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recent research shows that</w:t>
      </w:r>
      <w:r w:rsidR="00880B6E">
        <w:rPr>
          <w:sz w:val="20"/>
          <w:szCs w:val="18"/>
          <w:lang w:val="en-GB"/>
        </w:rPr>
        <w:t xml:space="preserve"> journalists tend to pick up</w:t>
      </w:r>
      <w:r w:rsidR="00645A19">
        <w:rPr>
          <w:sz w:val="20"/>
          <w:szCs w:val="18"/>
          <w:lang w:val="en-GB"/>
        </w:rPr>
        <w:t xml:space="preserve"> </w:t>
      </w:r>
      <w:r w:rsidR="00601A09">
        <w:rPr>
          <w:sz w:val="20"/>
          <w:szCs w:val="18"/>
          <w:lang w:val="en-GB"/>
        </w:rPr>
        <w:t>tweets from political actors, 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601A09">
        <w:rPr>
          <w:sz w:val="20"/>
          <w:szCs w:val="18"/>
          <w:lang w:val="en-GB"/>
        </w:rPr>
        <w:t>, incorporate</w:t>
      </w:r>
      <w:r w:rsidR="00880B6E">
        <w:rPr>
          <w:sz w:val="20"/>
          <w:szCs w:val="18"/>
          <w:lang w:val="en-GB"/>
        </w:rPr>
        <w:t xml:space="preserve"> them</w:t>
      </w:r>
      <w:r w:rsidR="00601A09">
        <w:rPr>
          <w:sz w:val="20"/>
          <w:szCs w:val="18"/>
          <w:lang w:val="en-GB"/>
        </w:rPr>
        <w:t xml:space="preserve">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017B30E9" w:rsidR="00091B45" w:rsidRPr="007F21B5" w:rsidRDefault="001665A9" w:rsidP="0032673F">
      <w:pPr>
        <w:spacing w:before="120" w:after="0" w:line="240" w:lineRule="auto"/>
        <w:jc w:val="both"/>
        <w:rPr>
          <w:sz w:val="20"/>
          <w:szCs w:val="18"/>
          <w:lang w:val="en-GB"/>
        </w:rPr>
      </w:pPr>
      <w:r w:rsidRPr="007F21B5">
        <w:rPr>
          <w:sz w:val="20"/>
          <w:szCs w:val="18"/>
          <w:lang w:val="en-GB"/>
        </w:rPr>
        <w:t>With a view to internal constraints, social media are attractive to supranational communicat</w:t>
      </w:r>
      <w:r w:rsidR="00CA6CDD" w:rsidRPr="007F21B5">
        <w:rPr>
          <w:sz w:val="20"/>
          <w:szCs w:val="18"/>
          <w:lang w:val="en-GB"/>
        </w:rPr>
        <w:t>ors</w:t>
      </w:r>
      <w:r w:rsidRPr="007F21B5">
        <w:rPr>
          <w:sz w:val="20"/>
          <w:szCs w:val="18"/>
          <w:lang w:val="en-GB"/>
        </w:rPr>
        <w:t xml:space="preserve"> as well. The platforms usually reward clear and concise messaging</w:t>
      </w:r>
      <w:r w:rsidR="00BD5B9F">
        <w:rPr>
          <w:sz w:val="20"/>
          <w:szCs w:val="18"/>
          <w:lang w:val="en-GB"/>
        </w:rPr>
        <w:t xml:space="preserve"> which are arguably cheaper to produce than press releases</w:t>
      </w:r>
      <w:r w:rsidRPr="007F21B5">
        <w:rPr>
          <w:sz w:val="20"/>
          <w:szCs w:val="18"/>
          <w:lang w:val="en-GB"/>
        </w:rPr>
        <w:t xml:space="preserve">. </w:t>
      </w:r>
      <w:r w:rsidR="0032673F" w:rsidRPr="007F21B5">
        <w:rPr>
          <w:sz w:val="20"/>
          <w:szCs w:val="18"/>
          <w:lang w:val="en-GB"/>
        </w:rPr>
        <w:t>In addition, t</w:t>
      </w:r>
      <w:r w:rsidRPr="007F21B5">
        <w:rPr>
          <w:sz w:val="20"/>
          <w:szCs w:val="18"/>
          <w:lang w:val="en-GB"/>
        </w:rPr>
        <w:t xml:space="preserve">hey offer multimedia features that </w:t>
      </w:r>
      <w:r w:rsidR="008074B6">
        <w:rPr>
          <w:sz w:val="20"/>
          <w:szCs w:val="18"/>
          <w:lang w:val="en-GB"/>
        </w:rPr>
        <w:t>are</w:t>
      </w:r>
      <w:r w:rsidRPr="007F21B5">
        <w:rPr>
          <w:sz w:val="20"/>
          <w:szCs w:val="18"/>
          <w:lang w:val="en-GB"/>
        </w:rPr>
        <w:t xml:space="preserve"> </w:t>
      </w:r>
      <w:r w:rsidR="0032673F" w:rsidRPr="007F21B5">
        <w:rPr>
          <w:sz w:val="20"/>
          <w:szCs w:val="18"/>
          <w:lang w:val="en-GB"/>
        </w:rPr>
        <w:t xml:space="preserve">also </w:t>
      </w:r>
      <w:r w:rsidRPr="007F21B5">
        <w:rPr>
          <w:sz w:val="20"/>
          <w:szCs w:val="18"/>
          <w:lang w:val="en-GB"/>
        </w:rPr>
        <w:t xml:space="preserve">beneficial for accessible and engaging </w:t>
      </w:r>
      <w:r w:rsidR="0032673F" w:rsidRPr="007F21B5">
        <w:rPr>
          <w:sz w:val="20"/>
          <w:szCs w:val="18"/>
          <w:lang w:val="en-GB"/>
        </w:rPr>
        <w:t>communication</w:t>
      </w:r>
      <w:r w:rsidRPr="007F21B5">
        <w:rPr>
          <w:sz w:val="20"/>
          <w:szCs w:val="18"/>
          <w:lang w:val="en-GB"/>
        </w:rPr>
        <w:t xml:space="preserve">. </w:t>
      </w:r>
      <w:r w:rsidR="004C779B">
        <w:rPr>
          <w:sz w:val="20"/>
          <w:szCs w:val="18"/>
          <w:lang w:val="en-GB"/>
        </w:rPr>
        <w:t xml:space="preserve">More </w:t>
      </w:r>
      <w:r w:rsidR="0032673F" w:rsidRPr="007F21B5">
        <w:rPr>
          <w:sz w:val="20"/>
          <w:szCs w:val="18"/>
          <w:lang w:val="en-GB"/>
        </w:rPr>
        <w:t xml:space="preserve">importantly, social media offer comparatively cost-efficient communication. It takes mere minutes to set up an account and they are </w:t>
      </w:r>
      <w:r w:rsidR="002D4867" w:rsidRPr="007F21B5">
        <w:rPr>
          <w:sz w:val="20"/>
          <w:szCs w:val="18"/>
          <w:lang w:val="en-GB"/>
        </w:rPr>
        <w:t>rather</w:t>
      </w:r>
      <w:r w:rsidR="0032673F" w:rsidRPr="007F21B5">
        <w:rPr>
          <w:sz w:val="20"/>
          <w:szCs w:val="18"/>
          <w:lang w:val="en-GB"/>
        </w:rPr>
        <w:t xml:space="preserve"> easy to maintain, thus</w:t>
      </w:r>
      <w:r w:rsidR="001637C8" w:rsidRPr="007F21B5">
        <w:rPr>
          <w:sz w:val="20"/>
          <w:szCs w:val="18"/>
          <w:lang w:val="en-GB"/>
        </w:rPr>
        <w:t xml:space="preserve"> </w:t>
      </w:r>
      <w:r w:rsidR="008074B6">
        <w:rPr>
          <w:sz w:val="20"/>
          <w:szCs w:val="18"/>
          <w:lang w:val="en-GB"/>
        </w:rPr>
        <w:t>partially</w:t>
      </w:r>
      <w:r w:rsidR="0032673F" w:rsidRPr="007F21B5">
        <w:rPr>
          <w:sz w:val="20"/>
          <w:szCs w:val="18"/>
          <w:lang w:val="en-GB"/>
        </w:rPr>
        <w:t xml:space="preserve"> </w:t>
      </w:r>
      <w:r w:rsidR="001637C8" w:rsidRPr="007F21B5">
        <w:rPr>
          <w:sz w:val="20"/>
          <w:szCs w:val="18"/>
          <w:lang w:val="en-GB"/>
        </w:rPr>
        <w:t>mitigating the effect of internal competition over limited resources</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160EA89D" w:rsidR="004A4DF3" w:rsidRPr="00A341E4" w:rsidRDefault="00F56448" w:rsidP="00424129">
      <w:pPr>
        <w:spacing w:before="120" w:after="0" w:line="240" w:lineRule="auto"/>
        <w:jc w:val="both"/>
        <w:rPr>
          <w:sz w:val="20"/>
          <w:szCs w:val="18"/>
          <w:lang w:val="en-GB"/>
        </w:rPr>
      </w:pPr>
      <w:bookmarkStart w:id="3" w:name="para-4"/>
      <w:bookmarkEnd w:id="2"/>
      <w:r>
        <w:rPr>
          <w:sz w:val="20"/>
          <w:szCs w:val="18"/>
          <w:lang w:val="en-GB"/>
        </w:rPr>
        <w:t>Realistically, s</w:t>
      </w:r>
      <w:r w:rsidR="004A4DF3" w:rsidRPr="00A341E4">
        <w:rPr>
          <w:sz w:val="20"/>
          <w:szCs w:val="18"/>
          <w:lang w:val="en-GB"/>
        </w:rPr>
        <w:t>ocial media are hardly the panacea to all the public communication ailments of the EU</w:t>
      </w:r>
      <w:r w:rsidR="008074B6">
        <w:rPr>
          <w:sz w:val="20"/>
          <w:szCs w:val="18"/>
          <w:lang w:val="en-GB"/>
        </w:rPr>
        <w:t>.</w:t>
      </w:r>
      <w:r w:rsidR="004A4DF3" w:rsidRPr="00A341E4">
        <w:rPr>
          <w:sz w:val="20"/>
          <w:szCs w:val="18"/>
          <w:lang w:val="en-GB"/>
        </w:rPr>
        <w:t xml:space="preserve"> </w:t>
      </w:r>
      <w:r w:rsidR="008074B6">
        <w:rPr>
          <w:sz w:val="20"/>
          <w:szCs w:val="18"/>
          <w:lang w:val="en-GB"/>
        </w:rPr>
        <w:t>But</w:t>
      </w:r>
      <w:r w:rsidR="0032673F" w:rsidRPr="00A341E4">
        <w:rPr>
          <w:sz w:val="20"/>
          <w:szCs w:val="18"/>
          <w:lang w:val="en-GB"/>
        </w:rPr>
        <w:t xml:space="preserve"> </w:t>
      </w:r>
      <w:r w:rsidR="008074B6">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1103D6">
        <w:rPr>
          <w:sz w:val="20"/>
          <w:szCs w:val="18"/>
          <w:lang w:val="en-GB"/>
        </w:rPr>
        <w:t xml:space="preserve"> While there are many confounders </w:t>
      </w:r>
      <w:r w:rsidR="00012A01">
        <w:rPr>
          <w:sz w:val="20"/>
          <w:szCs w:val="18"/>
          <w:lang w:val="en-GB"/>
        </w:rPr>
        <w:t>in realizing the full</w:t>
      </w:r>
      <w:r w:rsidR="008074B6">
        <w:rPr>
          <w:sz w:val="20"/>
          <w:szCs w:val="18"/>
          <w:lang w:val="en-GB"/>
        </w:rPr>
        <w:t xml:space="preserve"> </w:t>
      </w:r>
      <w:r w:rsidR="00012A01">
        <w:rPr>
          <w:sz w:val="20"/>
          <w:szCs w:val="18"/>
          <w:lang w:val="en-GB"/>
        </w:rPr>
        <w:t xml:space="preserve">potential of social media platforms for </w:t>
      </w:r>
      <w:r w:rsidR="008074B6">
        <w:rPr>
          <w:sz w:val="20"/>
          <w:szCs w:val="18"/>
          <w:lang w:val="en-GB"/>
        </w:rPr>
        <w:t>nurturing</w:t>
      </w:r>
      <w:r w:rsidR="00012A01">
        <w:rPr>
          <w:sz w:val="20"/>
          <w:szCs w:val="18"/>
          <w:lang w:val="en-GB"/>
        </w:rPr>
        <w:t xml:space="preserve"> popular legitimacy, </w:t>
      </w:r>
      <w:r w:rsidR="00377799">
        <w:rPr>
          <w:sz w:val="20"/>
          <w:szCs w:val="18"/>
          <w:lang w:val="en-GB"/>
        </w:rPr>
        <w:t>there are two cardinal duties that fall on the communicator</w:t>
      </w:r>
      <w:r w:rsidR="008074B6">
        <w:rPr>
          <w:sz w:val="20"/>
          <w:szCs w:val="18"/>
          <w:lang w:val="en-GB"/>
        </w:rPr>
        <w:t>:</w:t>
      </w:r>
      <w:r w:rsidR="0035623F">
        <w:rPr>
          <w:sz w:val="20"/>
          <w:szCs w:val="18"/>
          <w:lang w:val="en-GB"/>
        </w:rPr>
        <w:t xml:space="preserve"> creating transparency and publicity </w:t>
      </w:r>
      <w:r w:rsidR="0035623F">
        <w:rPr>
          <w:sz w:val="20"/>
          <w:szCs w:val="18"/>
          <w:lang w:val="en-GB"/>
        </w:rPr>
        <w:fldChar w:fldCharType="begin"/>
      </w:r>
      <w:r w:rsidR="00897810">
        <w:rPr>
          <w:sz w:val="20"/>
          <w:szCs w:val="18"/>
          <w:lang w:val="en-GB"/>
        </w:rPr>
        <w: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074B6">
        <w:rPr>
          <w:sz w:val="20"/>
          <w:szCs w:val="18"/>
          <w:lang w:val="en-GB"/>
        </w:rPr>
        <w:t>Transparency</w:t>
      </w:r>
      <w:r w:rsidR="008074B6">
        <w:rPr>
          <w:sz w:val="20"/>
          <w:szCs w:val="18"/>
          <w:lang w:val="en-GB"/>
        </w:rPr>
        <w:t xml:space="preserve"> </w:t>
      </w:r>
      <w:r w:rsidR="005728AF" w:rsidRPr="008074B6">
        <w:rPr>
          <w:sz w:val="20"/>
          <w:szCs w:val="18"/>
          <w:lang w:val="en-GB"/>
        </w:rPr>
        <w:t xml:space="preserve">means that public communication </w:t>
      </w:r>
      <w:r w:rsidR="008074B6">
        <w:rPr>
          <w:sz w:val="20"/>
          <w:szCs w:val="18"/>
          <w:lang w:val="en-GB"/>
        </w:rPr>
        <w:t xml:space="preserve">makes </w:t>
      </w:r>
      <w:r w:rsidR="005728AF" w:rsidRPr="008074B6">
        <w:rPr>
          <w:sz w:val="20"/>
          <w:szCs w:val="18"/>
          <w:lang w:val="en-GB"/>
        </w:rPr>
        <w:t xml:space="preserve">political </w:t>
      </w:r>
      <w:r w:rsidR="008074B6">
        <w:rPr>
          <w:sz w:val="20"/>
          <w:szCs w:val="18"/>
          <w:lang w:val="en-GB"/>
        </w:rPr>
        <w:t>decisions</w:t>
      </w:r>
      <w:r w:rsidR="005728AF" w:rsidRPr="008074B6">
        <w:rPr>
          <w:sz w:val="20"/>
          <w:szCs w:val="18"/>
          <w:lang w:val="en-GB"/>
        </w:rPr>
        <w:t>, processes, issues</w:t>
      </w:r>
      <w:r w:rsidR="008074B6">
        <w:rPr>
          <w:sz w:val="20"/>
          <w:szCs w:val="18"/>
          <w:lang w:val="en-GB"/>
        </w:rPr>
        <w:t>,</w:t>
      </w:r>
      <w:r w:rsidR="005728AF" w:rsidRPr="008074B6">
        <w:rPr>
          <w:sz w:val="20"/>
          <w:szCs w:val="18"/>
          <w:lang w:val="en-GB"/>
        </w:rPr>
        <w:t xml:space="preserve"> and responsibilities </w:t>
      </w:r>
      <w:r w:rsidR="008074B6">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sidR="008074B6">
        <w:rPr>
          <w:sz w:val="20"/>
          <w:szCs w:val="18"/>
          <w:lang w:val="en-GB"/>
        </w:rPr>
        <w:t>addresse</w:t>
      </w:r>
      <w:r w:rsidR="007162A6">
        <w:rPr>
          <w:sz w:val="20"/>
          <w:szCs w:val="18"/>
          <w:lang w:val="en-GB"/>
        </w:rPr>
        <w:t>e</w:t>
      </w:r>
      <w:r w:rsidR="008074B6">
        <w:rPr>
          <w:sz w:val="20"/>
          <w:szCs w:val="18"/>
          <w:lang w:val="en-GB"/>
        </w:rPr>
        <w:t>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Yet putting</w:t>
      </w:r>
      <w:r w:rsidR="003A227C">
        <w:rPr>
          <w:sz w:val="20"/>
          <w:szCs w:val="18"/>
          <w:lang w:val="en-GB"/>
        </w:rPr>
        <w:t xml:space="preserve"> such</w:t>
      </w:r>
      <w:r w:rsidR="00F61FFB">
        <w:rPr>
          <w:sz w:val="20"/>
          <w:szCs w:val="18"/>
          <w:lang w:val="en-GB"/>
        </w:rPr>
        <w:t xml:space="preserve"> information ether is not enough, the information </w:t>
      </w:r>
      <w:r w:rsidR="008074B6">
        <w:rPr>
          <w:sz w:val="20"/>
          <w:szCs w:val="18"/>
          <w:lang w:val="en-GB"/>
        </w:rPr>
        <w:t xml:space="preserve">also </w:t>
      </w:r>
      <w:r w:rsidR="00F61FFB">
        <w:rPr>
          <w:sz w:val="20"/>
          <w:szCs w:val="18"/>
          <w:lang w:val="en-GB"/>
        </w:rPr>
        <w:t xml:space="preserve">must be consumed by </w:t>
      </w:r>
      <w:r w:rsidR="008074B6">
        <w:rPr>
          <w:sz w:val="20"/>
          <w:szCs w:val="18"/>
          <w:lang w:val="en-GB"/>
        </w:rPr>
        <w:t xml:space="preserve">and engage the </w:t>
      </w:r>
      <w:r w:rsidR="00F61FFB">
        <w:rPr>
          <w:sz w:val="20"/>
          <w:szCs w:val="18"/>
          <w:lang w:val="en-GB"/>
        </w:rPr>
        <w:t xml:space="preserve">citizenry </w:t>
      </w:r>
      <w:r w:rsidR="008074B6">
        <w:rPr>
          <w:sz w:val="20"/>
          <w:szCs w:val="18"/>
          <w:lang w:val="en-GB"/>
        </w:rPr>
        <w:t>to become</w:t>
      </w:r>
      <w:r w:rsidR="00F61FFB">
        <w:rPr>
          <w:sz w:val="20"/>
          <w:szCs w:val="18"/>
          <w:lang w:val="en-GB"/>
        </w:rPr>
        <w:t xml:space="preserve"> integrated in their knowledge system.</w:t>
      </w:r>
      <w:r w:rsidR="002C2BA1">
        <w:rPr>
          <w:sz w:val="20"/>
          <w:szCs w:val="18"/>
          <w:lang w:val="en-GB"/>
        </w:rPr>
        <w:t xml:space="preserve"> In other words, </w:t>
      </w:r>
      <w:r w:rsidR="008074B6">
        <w:rPr>
          <w:sz w:val="20"/>
          <w:szCs w:val="18"/>
          <w:lang w:val="en-GB"/>
        </w:rPr>
        <w:t xml:space="preserve">communication </w:t>
      </w:r>
      <w:r w:rsidR="002C2BA1">
        <w:rPr>
          <w:sz w:val="20"/>
          <w:szCs w:val="18"/>
          <w:lang w:val="en-GB"/>
        </w:rPr>
        <w:t>needs to generate publicity</w:t>
      </w:r>
      <w:r w:rsidR="00E85D84">
        <w:rPr>
          <w:sz w:val="20"/>
          <w:szCs w:val="18"/>
          <w:lang w:val="en-GB"/>
        </w:rPr>
        <w:t>.</w:t>
      </w:r>
      <w:r w:rsidR="005728AF" w:rsidRPr="008074B6">
        <w:rPr>
          <w:sz w:val="20"/>
          <w:szCs w:val="18"/>
          <w:lang w:val="en-GB"/>
        </w:rPr>
        <w:t xml:space="preserve"> </w:t>
      </w:r>
      <w:r w:rsidR="003A227C">
        <w:rPr>
          <w:sz w:val="20"/>
          <w:szCs w:val="18"/>
          <w:lang w:val="en-GB"/>
        </w:rPr>
        <w:t xml:space="preserve">In this constellation, </w:t>
      </w:r>
      <w:r w:rsidR="00BC54AB">
        <w:rPr>
          <w:sz w:val="20"/>
          <w:szCs w:val="18"/>
          <w:lang w:val="en-GB"/>
        </w:rPr>
        <w:t>publicity</w:t>
      </w:r>
      <w:r w:rsidR="00DC4F36" w:rsidRPr="008074B6">
        <w:rPr>
          <w:sz w:val="20"/>
          <w:szCs w:val="18"/>
          <w:lang w:val="en-GB"/>
        </w:rPr>
        <w:t xml:space="preserve"> refers to the </w:t>
      </w:r>
      <w:r w:rsidR="008074B6">
        <w:rPr>
          <w:sz w:val="20"/>
          <w:szCs w:val="18"/>
          <w:lang w:val="en-GB"/>
        </w:rPr>
        <w:t xml:space="preserve">degree to which </w:t>
      </w:r>
      <w:r w:rsidR="00DC4F36" w:rsidRPr="008074B6">
        <w:rPr>
          <w:sz w:val="20"/>
          <w:szCs w:val="18"/>
          <w:lang w:val="en-GB"/>
        </w:rPr>
        <w:t xml:space="preserve">the audience </w:t>
      </w:r>
      <w:r w:rsidR="008074B6">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sidR="008074B6">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sidR="008074B6">
        <w:rPr>
          <w:sz w:val="20"/>
          <w:szCs w:val="18"/>
          <w:lang w:val="en-GB"/>
        </w:rPr>
        <w:t xml:space="preserve">publicity </w:t>
      </w:r>
      <w:r w:rsidR="00C9144F">
        <w:rPr>
          <w:sz w:val="20"/>
          <w:szCs w:val="18"/>
          <w:lang w:val="en-GB"/>
        </w:rPr>
        <w:t>this is the understandability of the political messages</w:t>
      </w:r>
      <w:r w:rsidR="008074B6">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sidR="008074B6">
        <w:rPr>
          <w:sz w:val="20"/>
          <w:szCs w:val="18"/>
          <w:lang w:val="en-GB"/>
        </w:rPr>
        <w:t>:</w:t>
      </w:r>
      <w:r w:rsidR="00E85D84">
        <w:rPr>
          <w:sz w:val="20"/>
          <w:szCs w:val="18"/>
          <w:lang w:val="en-GB"/>
        </w:rPr>
        <w:t xml:space="preserve"> </w:t>
      </w:r>
      <w:r w:rsidR="001B1E72">
        <w:rPr>
          <w:sz w:val="20"/>
          <w:szCs w:val="18"/>
          <w:lang w:val="en-GB"/>
        </w:rPr>
        <w:t>to what extend</w:t>
      </w:r>
      <w:r w:rsidR="00424129" w:rsidRPr="00A341E4">
        <w:rPr>
          <w:sz w:val="20"/>
          <w:szCs w:val="18"/>
          <w:lang w:val="en-GB"/>
        </w:rPr>
        <w:t xml:space="preserve"> </w:t>
      </w:r>
      <w:r w:rsidR="008074B6">
        <w:rPr>
          <w:sz w:val="20"/>
          <w:szCs w:val="18"/>
          <w:lang w:val="en-GB"/>
        </w:rPr>
        <w:t xml:space="preserve">and how do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sidR="008074B6">
        <w:rPr>
          <w:sz w:val="20"/>
          <w:szCs w:val="18"/>
          <w:lang w:val="en-GB"/>
        </w:rPr>
        <w:t>?</w:t>
      </w:r>
    </w:p>
    <w:p w14:paraId="3B987C2E" w14:textId="43E20909" w:rsidR="004A4DF3" w:rsidRPr="00A341E4"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A74E6B">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897810">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political communication environment </w:t>
      </w:r>
      <w:r w:rsidR="003A248E" w:rsidRPr="00814738">
        <w:rPr>
          <w:sz w:val="20"/>
          <w:szCs w:val="18"/>
          <w:lang w:val="en-GB"/>
        </w:rPr>
        <w:t xml:space="preserve">for 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t>
      </w:r>
      <w:r w:rsidR="00897810">
        <w:rPr>
          <w:sz w:val="20"/>
          <w:szCs w:val="18"/>
          <w:lang w:val="en-GB"/>
        </w:rPr>
        <w:lastRenderedPageBreak/>
        <w:t xml:space="preserve">well as </w:t>
      </w:r>
      <w:r w:rsidR="00347AD4" w:rsidRPr="00A341E4">
        <w:rPr>
          <w:sz w:val="20"/>
          <w:szCs w:val="18"/>
          <w:lang w:val="en-GB"/>
        </w:rPr>
        <w:t xml:space="preserve">large samples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the UK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r w:rsidR="00B20A3B">
        <w:rPr>
          <w:sz w:val="20"/>
          <w:szCs w:val="18"/>
          <w:lang w:val="en-GB"/>
        </w:rPr>
        <w:t xml:space="preserve"> such as </w:t>
      </w:r>
      <w:r w:rsidR="00C338A4" w:rsidRPr="00C338A4">
        <w:rPr>
          <w:sz w:val="20"/>
          <w:szCs w:val="18"/>
          <w:lang w:val="en-GB"/>
        </w:rPr>
        <w:t>Association of Southeast Asian Nations</w:t>
      </w:r>
      <w:r w:rsidR="00C338A4">
        <w:rPr>
          <w:sz w:val="20"/>
          <w:szCs w:val="18"/>
          <w:lang w:val="en-GB"/>
        </w:rPr>
        <w:t xml:space="preserve"> (ASEAN)</w:t>
      </w:r>
      <w:r w:rsidR="00013D14" w:rsidRPr="00A341E4">
        <w:rPr>
          <w:sz w:val="20"/>
          <w:szCs w:val="18"/>
          <w:lang w:val="en-GB"/>
        </w:rPr>
        <w:t>.</w:t>
      </w:r>
    </w:p>
    <w:p w14:paraId="7526BAEA" w14:textId="26BA0978" w:rsidR="00013D14" w:rsidRPr="00A341E4" w:rsidRDefault="00013D14" w:rsidP="003657FF">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w:t>
      </w:r>
      <w:r w:rsidR="00897810">
        <w:rPr>
          <w:sz w:val="20"/>
          <w:szCs w:val="18"/>
          <w:lang w:val="en-GB"/>
        </w:rPr>
        <w:t>a</w:t>
      </w:r>
      <w:r w:rsidRPr="00A341E4">
        <w:rPr>
          <w:sz w:val="20"/>
          <w:szCs w:val="18"/>
          <w:lang w:val="en-GB"/>
        </w:rPr>
        <w:t xml:space="preserve"> key </w:t>
      </w:r>
      <w:r w:rsidR="00EE1501">
        <w:rPr>
          <w:sz w:val="20"/>
          <w:szCs w:val="18"/>
          <w:lang w:val="en-GB"/>
        </w:rPr>
        <w:t>communication</w:t>
      </w:r>
      <w:r w:rsidRPr="00A341E4">
        <w:rPr>
          <w:sz w:val="20"/>
          <w:szCs w:val="18"/>
          <w:lang w:val="en-GB"/>
        </w:rPr>
        <w:t xml:space="preserve"> medi</w:t>
      </w:r>
      <w:r w:rsidR="007D7C37">
        <w:rPr>
          <w:sz w:val="20"/>
          <w:szCs w:val="18"/>
          <w:lang w:val="en-GB"/>
        </w:rPr>
        <w:t>um</w:t>
      </w:r>
      <w:r w:rsidRPr="00A341E4">
        <w:rPr>
          <w:sz w:val="20"/>
          <w:szCs w:val="18"/>
          <w:lang w:val="en-GB"/>
        </w:rPr>
        <w:t xml:space="preserve"> shows a drastically increasing volume of supranational messaging</w:t>
      </w:r>
      <w:r w:rsidR="00897810">
        <w:rPr>
          <w:sz w:val="20"/>
          <w:szCs w:val="18"/>
          <w:lang w:val="en-GB"/>
        </w:rPr>
        <w:t xml:space="preserve"> which often outperforms</w:t>
      </w:r>
      <w:r w:rsidRPr="00A341E4">
        <w:rPr>
          <w:sz w:val="20"/>
          <w:szCs w:val="18"/>
          <w:lang w:val="en-GB"/>
        </w:rPr>
        <w:t xml:space="preserve"> </w:t>
      </w:r>
      <w:r w:rsidR="003657FF">
        <w:rPr>
          <w:sz w:val="20"/>
          <w:szCs w:val="18"/>
          <w:lang w:val="en-GB"/>
        </w:rPr>
        <w:t>domestic and international</w:t>
      </w:r>
      <w:r w:rsidR="00B20A3B">
        <w:rPr>
          <w:sz w:val="20"/>
          <w:szCs w:val="18"/>
          <w:lang w:val="en-GB"/>
        </w:rPr>
        <w:t xml:space="preserve"> organization</w:t>
      </w:r>
      <w:r w:rsidRPr="00A341E4">
        <w:rPr>
          <w:sz w:val="20"/>
          <w:szCs w:val="18"/>
          <w:lang w:val="en-GB"/>
        </w:rPr>
        <w:t xml:space="preserve">. </w:t>
      </w:r>
      <w:r w:rsidR="003657FF">
        <w:rPr>
          <w:sz w:val="20"/>
          <w:szCs w:val="18"/>
          <w:lang w:val="en-GB"/>
        </w:rPr>
        <w:t xml:space="preserve">While </w:t>
      </w:r>
      <w:r w:rsidRPr="00A341E4">
        <w:rPr>
          <w:sz w:val="20"/>
          <w:szCs w:val="18"/>
          <w:lang w:val="en-GB"/>
        </w:rPr>
        <w:t xml:space="preserve">the text of supranational messages is comparatively </w:t>
      </w:r>
      <w:r w:rsidR="00897810">
        <w:rPr>
          <w:sz w:val="20"/>
          <w:szCs w:val="18"/>
          <w:lang w:val="en-GB"/>
        </w:rPr>
        <w:t xml:space="preserve">hard to </w:t>
      </w:r>
      <w:r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often much more than other executives do</w:t>
      </w:r>
      <w:r w:rsidR="00AC0DC9">
        <w:rPr>
          <w:sz w:val="20"/>
          <w:szCs w:val="18"/>
          <w:lang w:val="en-GB"/>
        </w:rPr>
        <w:t>.</w:t>
      </w:r>
      <w:r w:rsidR="00C559FE">
        <w:rPr>
          <w:sz w:val="20"/>
          <w:szCs w:val="18"/>
          <w:lang w:val="en-GB"/>
        </w:rPr>
        <w:t xml:space="preserve"> </w:t>
      </w:r>
      <w:r w:rsidR="003657FF">
        <w:rPr>
          <w:sz w:val="20"/>
          <w:szCs w:val="18"/>
          <w:lang w:val="en-GB"/>
        </w:rPr>
        <w:t>The number of followers has been increasing strongly at least for some supranational EU actors while the rates of direct user engagement remain low in absolute terms, staying in the range observed for domestic and international actors. Against the backdrops of public politicization and communication deficits, supranational EU executives at least try to use the communication potential of social media while important shortcomings and fruitful avenues for further research remain.</w:t>
      </w:r>
    </w:p>
    <w:p w14:paraId="03CFD1EE" w14:textId="77777777" w:rsidR="00A233EF" w:rsidRPr="00ED341A" w:rsidRDefault="00A233EF" w:rsidP="007D7C37">
      <w:pPr>
        <w:spacing w:before="120" w:after="0" w:line="240" w:lineRule="auto"/>
        <w:jc w:val="both"/>
        <w:rPr>
          <w:b/>
          <w:sz w:val="20"/>
          <w:szCs w:val="18"/>
          <w:lang w:val="en-US"/>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9720279"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follows </w:t>
      </w:r>
      <w:r w:rsidR="00A233EF" w:rsidRPr="00A341E4">
        <w:rPr>
          <w:sz w:val="20"/>
          <w:szCs w:val="18"/>
          <w:lang w:val="en-GB"/>
        </w:rPr>
        <w:t xml:space="preserve">two considerations. </w:t>
      </w:r>
      <w:r w:rsidR="00CF046B" w:rsidRPr="00A341E4">
        <w:rPr>
          <w:sz w:val="20"/>
          <w:szCs w:val="18"/>
          <w:lang w:val="en-GB"/>
        </w:rPr>
        <w:t xml:space="preserve">First, our interest is the executive branches of the EU which control independent delegated powers. Institutions such as the European Commission or the ECB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4A4D719D"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554E27">
        <w:rPr>
          <w:sz w:val="20"/>
          <w:szCs w:val="18"/>
          <w:lang w:val="en-GB"/>
        </w:rPr>
        <w:t xml:space="preserve"> using the official webpage of the EU</w:t>
      </w:r>
      <w:r w:rsidR="00554E27">
        <w:rPr>
          <w:rStyle w:val="FootnoteReference"/>
          <w:sz w:val="20"/>
          <w:szCs w:val="18"/>
          <w:lang w:val="en-GB"/>
        </w:rPr>
        <w:footnoteReference w:id="1"/>
      </w:r>
      <w:r w:rsidR="003657FF">
        <w:rPr>
          <w:sz w:val="20"/>
          <w:szCs w:val="18"/>
          <w:lang w:val="en-GB"/>
        </w:rPr>
        <w:t>.</w:t>
      </w:r>
      <w:r w:rsidRPr="00A341E4">
        <w:rPr>
          <w:sz w:val="20"/>
          <w:szCs w:val="18"/>
          <w:lang w:val="en-GB"/>
        </w:rPr>
        <w:t xml:space="preserve"> </w:t>
      </w:r>
      <w:r w:rsidR="00B937F8" w:rsidRPr="00A341E4">
        <w:rPr>
          <w:sz w:val="20"/>
          <w:szCs w:val="18"/>
          <w:lang w:val="en-GB"/>
        </w:rPr>
        <w:t>We include only</w:t>
      </w:r>
      <w:r w:rsidR="00007D1B">
        <w:rPr>
          <w:sz w:val="20"/>
          <w:szCs w:val="18"/>
          <w:lang w:val="en-GB"/>
        </w:rPr>
        <w:t xml:space="preserve"> the official</w:t>
      </w:r>
      <w:r w:rsidR="00B937F8" w:rsidRPr="00A341E4">
        <w:rPr>
          <w:sz w:val="20"/>
          <w:szCs w:val="18"/>
          <w:lang w:val="en-GB"/>
        </w:rPr>
        <w:t xml:space="preserve"> accounts</w:t>
      </w:r>
      <w:r w:rsidR="00007D1B">
        <w:rPr>
          <w:sz w:val="20"/>
          <w:szCs w:val="18"/>
          <w:lang w:val="en-GB"/>
        </w:rPr>
        <w:t xml:space="preserve"> verified by Twitter</w:t>
      </w:r>
      <w:r w:rsidR="00B937F8" w:rsidRPr="00A341E4">
        <w:rPr>
          <w:sz w:val="20"/>
          <w:szCs w:val="18"/>
          <w:lang w:val="en-GB"/>
        </w:rPr>
        <w:t xml:space="preserve"> to </w:t>
      </w:r>
      <w:r w:rsidRPr="00A341E4">
        <w:rPr>
          <w:sz w:val="20"/>
          <w:szCs w:val="18"/>
          <w:lang w:val="en-GB"/>
        </w:rPr>
        <w:t>be owned by the</w:t>
      </w:r>
      <w:r w:rsidR="00007D1B">
        <w:rPr>
          <w:sz w:val="20"/>
          <w:szCs w:val="18"/>
          <w:lang w:val="en-GB"/>
        </w:rPr>
        <w:t xml:space="preserve"> said</w:t>
      </w:r>
      <w:r w:rsidRPr="00A341E4">
        <w:rPr>
          <w:sz w:val="20"/>
          <w:szCs w:val="18"/>
          <w:lang w:val="en-GB"/>
        </w:rPr>
        <w:t xml:space="preserve"> person or organization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xml:space="preserve">. For each of these accounts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his approach gives 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00D55B44"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08E944A6" w:rsidR="00A233EF" w:rsidRPr="00A341E4" w:rsidRDefault="00DE6B51" w:rsidP="00DE6B51">
      <w:pPr>
        <w:spacing w:before="120" w:after="0" w:line="240" w:lineRule="auto"/>
        <w:jc w:val="both"/>
        <w:rPr>
          <w:sz w:val="20"/>
          <w:szCs w:val="18"/>
          <w:lang w:val="en-GB"/>
        </w:rPr>
      </w:pPr>
      <w:r w:rsidRPr="00A341E4">
        <w:rPr>
          <w:sz w:val="20"/>
          <w:szCs w:val="18"/>
          <w:lang w:val="en-GB"/>
        </w:rPr>
        <w:t>The theoretically more meaningful benchmarks are geared to locate supranational communication within a broader population of actors holding executive powers. After all, public politicization, legitimacy challenges, and the need for effective communication emerge from</w:t>
      </w:r>
      <w:r w:rsidR="004B5181" w:rsidRPr="00A341E4">
        <w:rPr>
          <w:sz w:val="20"/>
          <w:szCs w:val="18"/>
          <w:lang w:val="en-GB"/>
        </w:rPr>
        <w:t xml:space="preserve">, to use </w:t>
      </w:r>
      <w:proofErr w:type="spellStart"/>
      <w:r w:rsidR="004B5181" w:rsidRPr="00A341E4">
        <w:rPr>
          <w:sz w:val="20"/>
          <w:szCs w:val="18"/>
          <w:lang w:val="en-GB"/>
        </w:rPr>
        <w:t>Delors</w:t>
      </w:r>
      <w:proofErr w:type="spellEnd"/>
      <w:r w:rsidR="004B5181" w:rsidRPr="00A341E4">
        <w:rPr>
          <w:sz w:val="20"/>
          <w:szCs w:val="18"/>
          <w:lang w:val="en-GB"/>
        </w:rPr>
        <w:t>’ famous description</w:t>
      </w:r>
      <w:r w:rsidR="004B5181">
        <w:rPr>
          <w:sz w:val="20"/>
          <w:szCs w:val="18"/>
          <w:lang w:val="en-GB"/>
        </w:rPr>
        <w:t>,</w:t>
      </w:r>
      <w:r w:rsidRPr="00A341E4">
        <w:rPr>
          <w:sz w:val="20"/>
          <w:szCs w:val="18"/>
          <w:lang w:val="en-GB"/>
        </w:rPr>
        <w:t xml:space="preserve"> the EU’s nature as an </w:t>
      </w:r>
      <w:r w:rsidR="00A233EF" w:rsidRPr="00A341E4">
        <w:rPr>
          <w:sz w:val="20"/>
          <w:szCs w:val="18"/>
          <w:lang w:val="en-GB"/>
        </w:rPr>
        <w:t>unidentified political object</w:t>
      </w:r>
      <w:r w:rsidRPr="00A341E4">
        <w:rPr>
          <w:sz w:val="20"/>
          <w:szCs w:val="18"/>
          <w:lang w:val="en-GB"/>
        </w:rPr>
        <w:t>.</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t>
      </w:r>
      <w:proofErr w:type="gramStart"/>
      <w:r w:rsidR="00A233EF" w:rsidRPr="00A341E4">
        <w:rPr>
          <w:sz w:val="20"/>
          <w:szCs w:val="18"/>
          <w:lang w:val="en-GB"/>
        </w:rPr>
        <w:t>where</w:t>
      </w:r>
      <w:proofErr w:type="gramEnd"/>
      <w:r w:rsidR="00A233EF" w:rsidRPr="00A341E4">
        <w:rPr>
          <w:sz w:val="20"/>
          <w:szCs w:val="18"/>
          <w:lang w:val="en-GB"/>
        </w:rPr>
        <w:t xml:space="preserv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 xml:space="preserve">benchmark data sets thus focus on comparing supranational </w:t>
      </w:r>
      <w:r w:rsidR="00D374C5">
        <w:rPr>
          <w:sz w:val="20"/>
          <w:szCs w:val="18"/>
          <w:lang w:val="en-GB"/>
        </w:rPr>
        <w:t xml:space="preserve">social </w:t>
      </w:r>
      <w:r w:rsidR="00A233EF" w:rsidRPr="00A341E4">
        <w:rPr>
          <w:sz w:val="20"/>
          <w:szCs w:val="18"/>
          <w:lang w:val="en-GB"/>
        </w:rPr>
        <w:t>media communication to exactly these different levels of governance.</w:t>
      </w:r>
    </w:p>
    <w:p w14:paraId="7DEAF349" w14:textId="43FFB216"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r w:rsidR="004579E5">
        <w:rPr>
          <w:sz w:val="20"/>
          <w:szCs w:val="18"/>
          <w:lang w:val="en-GB"/>
        </w:rPr>
        <w:t xml:space="preserve"> </w:t>
      </w:r>
      <w:r w:rsidR="004579E5">
        <w:rPr>
          <w:sz w:val="20"/>
          <w:szCs w:val="18"/>
          <w:lang w:val="en-GB"/>
        </w:rPr>
        <w:t>using the official government webpages</w:t>
      </w:r>
      <w:r w:rsidR="004579E5">
        <w:rPr>
          <w:rStyle w:val="FootnoteReference"/>
          <w:sz w:val="20"/>
          <w:szCs w:val="18"/>
          <w:lang w:val="en-GB"/>
        </w:rPr>
        <w:footnoteReference w:id="2"/>
      </w:r>
      <w:r w:rsidRPr="00A341E4">
        <w:rPr>
          <w:sz w:val="20"/>
          <w:szCs w:val="18"/>
          <w:lang w:val="en-GB"/>
        </w:rPr>
        <w:t>. Collecting the data analogous</w:t>
      </w:r>
      <w:r w:rsidR="00D03067">
        <w:rPr>
          <w:sz w:val="20"/>
          <w:szCs w:val="18"/>
          <w:lang w:val="en-GB"/>
        </w:rPr>
        <w:t>ly</w:t>
      </w:r>
      <w:r w:rsidRPr="00A341E4">
        <w:rPr>
          <w:sz w:val="20"/>
          <w:szCs w:val="18"/>
          <w:lang w:val="en-GB"/>
        </w:rPr>
        <w:t xml:space="preserve">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are in the range of one standard deviation around the EU with regard to the number of policy areas as provided in the MIA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w:t>
      </w:r>
      <w:r w:rsidRPr="00A341E4">
        <w:rPr>
          <w:sz w:val="20"/>
          <w:szCs w:val="18"/>
          <w:lang w:val="en-GB"/>
        </w:rPr>
        <w:lastRenderedPageBreak/>
        <w:t xml:space="preserve">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This results in 55 accounts for which we could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Caption"/>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34BF9D05"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Caption"/>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7E2397E9"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early phase of supranational Twitter presence</w:t>
      </w:r>
      <w:r w:rsidR="00795891">
        <w:rPr>
          <w:sz w:val="20"/>
          <w:szCs w:val="18"/>
          <w:lang w:val="en-GB"/>
        </w:rPr>
        <w:t>,</w:t>
      </w:r>
      <w:r w:rsidR="00744334" w:rsidRPr="00A341E4">
        <w:rPr>
          <w:sz w:val="20"/>
          <w:szCs w:val="18"/>
          <w:lang w:val="en-GB"/>
        </w:rPr>
        <w:t xml:space="preserv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reduced its output of traditional press releases notably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59D69016"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lastRenderedPageBreak/>
        <w:t>presence.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EFFF8D4"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tweets) is not distinct from our UK sample (2.23 daily tweets) and markedly lower than in 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04C657A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5B4BD903" w14:textId="257020F0" w:rsidR="008A6FB2" w:rsidRPr="00A341E4" w:rsidRDefault="004154F4" w:rsidP="00FC6904">
      <w:pPr>
        <w:spacing w:before="120" w:after="0" w:line="240" w:lineRule="auto"/>
        <w:jc w:val="both"/>
        <w:rPr>
          <w:sz w:val="20"/>
          <w:szCs w:val="18"/>
          <w:lang w:val="en-GB"/>
        </w:rPr>
      </w:pPr>
      <w:r>
        <w:rPr>
          <w:sz w:val="20"/>
          <w:szCs w:val="18"/>
          <w:lang w:val="en-GB"/>
        </w:rPr>
        <w:t xml:space="preserve">A more pressing question </w:t>
      </w:r>
      <w:r w:rsidR="00E10406">
        <w:rPr>
          <w:sz w:val="20"/>
          <w:szCs w:val="18"/>
          <w:lang w:val="en-GB"/>
        </w:rPr>
        <w:t>i</w:t>
      </w:r>
      <w:r w:rsidR="008A6FB2" w:rsidRPr="00A341E4">
        <w:rPr>
          <w:sz w:val="20"/>
          <w:szCs w:val="18"/>
          <w:lang w:val="en-GB"/>
        </w:rPr>
        <w:t>s</w:t>
      </w:r>
      <w:r>
        <w:rPr>
          <w:sz w:val="20"/>
          <w:szCs w:val="18"/>
          <w:lang w:val="en-GB"/>
        </w:rPr>
        <w:t xml:space="preserve"> whether</w:t>
      </w:r>
      <w:r w:rsidR="008A6FB2" w:rsidRPr="00A341E4">
        <w:rPr>
          <w:sz w:val="20"/>
          <w:szCs w:val="18"/>
          <w:lang w:val="en-GB"/>
        </w:rPr>
        <w:t xml:space="preserve"> this increasing amount of supranational communication on Twitter </w:t>
      </w:r>
      <w:r w:rsidR="003E4EAB" w:rsidRPr="00A341E4">
        <w:rPr>
          <w:sz w:val="20"/>
          <w:szCs w:val="18"/>
          <w:lang w:val="en-GB"/>
        </w:rPr>
        <w:t>understandable to the average European citizen</w:t>
      </w:r>
      <w:r>
        <w:rPr>
          <w:sz w:val="20"/>
          <w:szCs w:val="18"/>
          <w:lang w:val="en-GB"/>
        </w:rPr>
        <w:t xml:space="preserve">. </w:t>
      </w:r>
      <w:r w:rsidR="00E10406">
        <w:rPr>
          <w:sz w:val="20"/>
          <w:szCs w:val="18"/>
          <w:lang w:val="en-GB"/>
        </w:rPr>
        <w:t xml:space="preserve">Analysing the language of supranational Twitter messages </w:t>
      </w:r>
      <w:r w:rsidR="00B02F28" w:rsidRPr="00A341E4">
        <w:rPr>
          <w:sz w:val="20"/>
          <w:szCs w:val="18"/>
          <w:lang w:val="en-GB"/>
        </w:rPr>
        <w:t>require</w:t>
      </w:r>
      <w:r w:rsidR="00E10406">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sidR="00E10406">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00B02F28"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Caption"/>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52B13B4A"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897810">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w:t>
      </w:r>
      <w:r w:rsidR="00900B9E" w:rsidRPr="00900B9E">
        <w:rPr>
          <w:rFonts w:cs="Calibri"/>
          <w:sz w:val="20"/>
          <w:szCs w:val="24"/>
        </w:rPr>
        <w:lastRenderedPageBreak/>
        <w:t>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4065FF61"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or 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1A13F2D2"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2CF9B9CB"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Caption"/>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supranational 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00079903"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w:t>
      </w:r>
      <w:r w:rsidR="00441C3A">
        <w:rPr>
          <w:sz w:val="20"/>
          <w:szCs w:val="18"/>
          <w:lang w:val="en-GB"/>
        </w:rPr>
        <w:t xml:space="preserve">supranational </w:t>
      </w:r>
      <w:r>
        <w:rPr>
          <w:sz w:val="20"/>
          <w:szCs w:val="18"/>
          <w:lang w:val="en-GB"/>
        </w:rPr>
        <w:t xml:space="preserve">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 xml:space="preserve">Margrethe Vestager), Justice </w:t>
      </w:r>
      <w:r>
        <w:rPr>
          <w:sz w:val="20"/>
          <w:szCs w:val="18"/>
          <w:lang w:val="en-GB"/>
        </w:rPr>
        <w:lastRenderedPageBreak/>
        <w:t>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5E3248">
        <w:rPr>
          <w:sz w:val="20"/>
          <w:szCs w:val="18"/>
          <w:lang w:val="en-GB"/>
        </w:rPr>
        <w:t>Average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33F2D81D"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Caption"/>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282FEE49"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5E03029A" w:rsidR="00615977" w:rsidRDefault="00697553" w:rsidP="00FC6904">
      <w:pPr>
        <w:spacing w:before="120" w:after="0" w:line="240" w:lineRule="auto"/>
        <w:jc w:val="both"/>
        <w:rPr>
          <w:sz w:val="20"/>
          <w:szCs w:val="18"/>
          <w:lang w:val="en-GB"/>
        </w:rPr>
      </w:pPr>
      <w:r>
        <w:rPr>
          <w:sz w:val="20"/>
          <w:szCs w:val="18"/>
          <w:lang w:val="en-GB"/>
        </w:rPr>
        <w:lastRenderedPageBreak/>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12A635D4" w14:textId="66E122BD"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r w:rsidR="003361B0">
        <w:rPr>
          <w:sz w:val="20"/>
          <w:szCs w:val="18"/>
          <w:lang w:val="en-GB"/>
        </w:rPr>
        <w:t>Also,</w:t>
      </w:r>
      <w:r>
        <w:rPr>
          <w:sz w:val="20"/>
          <w:szCs w:val="18"/>
          <w:lang w:val="en-GB"/>
        </w:rPr>
        <w:t xml:space="preserve"> </w:t>
      </w:r>
      <w:proofErr w:type="gramStart"/>
      <w:r>
        <w:rPr>
          <w:sz w:val="20"/>
          <w:szCs w:val="18"/>
          <w:lang w:val="en-GB"/>
        </w:rPr>
        <w:t>with regard to</w:t>
      </w:r>
      <w:proofErr w:type="gramEnd"/>
      <w:r>
        <w:rPr>
          <w:sz w:val="20"/>
          <w:szCs w:val="18"/>
          <w:lang w:val="en-GB"/>
        </w:rPr>
        <w:t xml:space="preserve"> this 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to</w:t>
      </w:r>
      <w:r w:rsidR="00560269">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BF41DA0"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53D83618"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User engagement with supranational messages</w:t>
      </w:r>
    </w:p>
    <w:p w14:paraId="1CDE029C" w14:textId="4D983192"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2DAA45DD"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 (available at </w:t>
      </w:r>
      <w:hyperlink r:id="rId14"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6E0841B6"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Caption"/>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56ED3750"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2010-5 was followed by a period in which an increasing number of Twitter users also decided to subscribe to these accounts. </w:t>
      </w:r>
      <w:r w:rsidR="00F3179C">
        <w:rPr>
          <w:sz w:val="20"/>
          <w:szCs w:val="18"/>
          <w:lang w:val="en-GB"/>
        </w:rPr>
        <w:t>T</w:t>
      </w:r>
      <w:r>
        <w:rPr>
          <w:sz w:val="20"/>
          <w:szCs w:val="18"/>
          <w:lang w:val="en-GB"/>
        </w:rPr>
        <w:t>he figure also highlights</w:t>
      </w:r>
      <w:r w:rsidR="00F3179C">
        <w:rPr>
          <w:sz w:val="20"/>
          <w:szCs w:val="18"/>
          <w:lang w:val="en-GB"/>
        </w:rPr>
        <w:t>, however,</w:t>
      </w:r>
      <w:r>
        <w:rPr>
          <w:sz w:val="20"/>
          <w:szCs w:val="18"/>
          <w:lang w:val="en-GB"/>
        </w:rPr>
        <w:t xml:space="preserve"> that the distribution of followers across supranational accounts is extremely right skewed which has intensified over time. The by far most prominent supranational account is @EU_Commission with 1,491,</w:t>
      </w:r>
      <w:r w:rsidR="00597BF3">
        <w:rPr>
          <w:sz w:val="20"/>
          <w:szCs w:val="18"/>
          <w:lang w:val="en-GB"/>
        </w:rPr>
        <w:t>171</w:t>
      </w:r>
      <w:r>
        <w:rPr>
          <w:sz w:val="20"/>
          <w:szCs w:val="18"/>
          <w:lang w:val="en-GB"/>
        </w:rPr>
        <w:t xml:space="preserve"> followers as of May </w:t>
      </w:r>
      <w:r w:rsidR="002136F4">
        <w:rPr>
          <w:sz w:val="20"/>
          <w:szCs w:val="18"/>
          <w:lang w:val="en-GB"/>
        </w:rPr>
        <w:t>4</w:t>
      </w:r>
      <w:r>
        <w:rPr>
          <w:sz w:val="20"/>
          <w:szCs w:val="18"/>
          <w:lang w:val="en-GB"/>
        </w:rPr>
        <w:t>, 2021, followed by the institutional accounts of the European Council President (</w:t>
      </w:r>
      <w:r w:rsidR="00FF339A" w:rsidRPr="00FF339A">
        <w:rPr>
          <w:sz w:val="20"/>
          <w:szCs w:val="18"/>
          <w:lang w:val="en-GB"/>
        </w:rPr>
        <w:t>1</w:t>
      </w:r>
      <w:r w:rsidR="00FF339A">
        <w:rPr>
          <w:sz w:val="20"/>
          <w:szCs w:val="18"/>
          <w:lang w:val="en-GB"/>
        </w:rPr>
        <w:t>,</w:t>
      </w:r>
      <w:r w:rsidR="00FF339A" w:rsidRPr="00FF339A">
        <w:rPr>
          <w:sz w:val="20"/>
          <w:szCs w:val="18"/>
          <w:lang w:val="en-GB"/>
        </w:rPr>
        <w:t>194</w:t>
      </w:r>
      <w:r w:rsidR="00FF339A">
        <w:rPr>
          <w:sz w:val="20"/>
          <w:szCs w:val="18"/>
          <w:lang w:val="en-GB"/>
        </w:rPr>
        <w:t>,</w:t>
      </w:r>
      <w:r w:rsidR="00FF339A" w:rsidRPr="00FF339A">
        <w:rPr>
          <w:sz w:val="20"/>
          <w:szCs w:val="18"/>
          <w:lang w:val="en-GB"/>
        </w:rPr>
        <w:t>648</w:t>
      </w:r>
      <w:r>
        <w:rPr>
          <w:sz w:val="20"/>
          <w:szCs w:val="18"/>
          <w:lang w:val="en-GB"/>
        </w:rPr>
        <w:t xml:space="preserve"> followers) and the European Central Bank (</w:t>
      </w:r>
      <w:r w:rsidR="00FF5476" w:rsidRPr="00FF5476">
        <w:rPr>
          <w:sz w:val="20"/>
          <w:szCs w:val="18"/>
          <w:lang w:val="en-GB"/>
        </w:rPr>
        <w:t>627</w:t>
      </w:r>
      <w:r w:rsidR="00FF5476">
        <w:rPr>
          <w:sz w:val="20"/>
          <w:szCs w:val="18"/>
          <w:lang w:val="en-GB"/>
        </w:rPr>
        <w:t>,</w:t>
      </w:r>
      <w:r w:rsidR="00FF5476" w:rsidRPr="00FF5476">
        <w:rPr>
          <w:sz w:val="20"/>
          <w:szCs w:val="18"/>
          <w:lang w:val="en-GB"/>
        </w:rPr>
        <w:t>385</w:t>
      </w:r>
      <w:r>
        <w:rPr>
          <w:sz w:val="20"/>
          <w:szCs w:val="18"/>
          <w:lang w:val="en-GB"/>
        </w:rPr>
        <w:t>). Among the most prominent personal accounts are Commission president Von der Leyen (587,814 followers), Competition Commissioner Vestager (</w:t>
      </w:r>
      <w:r w:rsidR="00464155" w:rsidRPr="00464155">
        <w:rPr>
          <w:sz w:val="20"/>
          <w:szCs w:val="18"/>
          <w:lang w:val="en-GB"/>
        </w:rPr>
        <w:t>295</w:t>
      </w:r>
      <w:r w:rsidR="00464155">
        <w:rPr>
          <w:sz w:val="20"/>
          <w:szCs w:val="18"/>
          <w:lang w:val="en-GB"/>
        </w:rPr>
        <w:t>,</w:t>
      </w:r>
      <w:r w:rsidR="00464155" w:rsidRPr="00464155">
        <w:rPr>
          <w:sz w:val="20"/>
          <w:szCs w:val="18"/>
          <w:lang w:val="en-GB"/>
        </w:rPr>
        <w:t>650</w:t>
      </w:r>
      <w:r>
        <w:rPr>
          <w:sz w:val="20"/>
          <w:szCs w:val="18"/>
          <w:lang w:val="en-GB"/>
        </w:rPr>
        <w:t xml:space="preserve">), and the High Representative for Foreign Affairs and Security Policy,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BB606A" w:rsidRPr="00BB606A">
        <w:rPr>
          <w:sz w:val="20"/>
          <w:szCs w:val="18"/>
          <w:lang w:val="en-GB"/>
        </w:rPr>
        <w:t>202</w:t>
      </w:r>
      <w:r w:rsidR="00BB606A">
        <w:rPr>
          <w:sz w:val="20"/>
          <w:szCs w:val="18"/>
          <w:lang w:val="en-GB"/>
        </w:rPr>
        <w:t>,</w:t>
      </w:r>
      <w:r w:rsidR="00BB606A" w:rsidRPr="00BB606A">
        <w:rPr>
          <w:sz w:val="20"/>
          <w:szCs w:val="18"/>
          <w:lang w:val="en-GB"/>
        </w:rPr>
        <w:t>519</w:t>
      </w:r>
      <w:r>
        <w:rPr>
          <w:sz w:val="20"/>
          <w:szCs w:val="18"/>
          <w:lang w:val="en-GB"/>
        </w:rPr>
        <w:t>). Personal accounts have on average 13,000 followers less than institutional accounts, but this difference is not statistically significant, indicating sizeable within-group variation. At the lower end of the distribution, we find several Commission Directors-General as well as the Euratom Supply Agency with only 7</w:t>
      </w:r>
      <w:r w:rsidR="00D34072">
        <w:rPr>
          <w:sz w:val="20"/>
          <w:szCs w:val="18"/>
          <w:lang w:val="en-GB"/>
        </w:rPr>
        <w:t>8</w:t>
      </w:r>
      <w:r>
        <w:rPr>
          <w:sz w:val="20"/>
          <w:szCs w:val="18"/>
          <w:lang w:val="en-GB"/>
        </w:rPr>
        <w:t xml:space="preserve"> followers.</w:t>
      </w:r>
    </w:p>
    <w:p w14:paraId="717C0D0F" w14:textId="0736D4ED"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w:t>
      </w:r>
      <w:proofErr w:type="gramStart"/>
      <w:r w:rsidR="00D054CB">
        <w:rPr>
          <w:sz w:val="20"/>
          <w:szCs w:val="18"/>
          <w:lang w:val="en-GB"/>
        </w:rPr>
        <w:t>actually engage</w:t>
      </w:r>
      <w:proofErr w:type="gramEnd"/>
      <w:r w:rsidR="00D054CB">
        <w:rPr>
          <w:sz w:val="20"/>
          <w:szCs w:val="18"/>
          <w:lang w:val="en-GB"/>
        </w:rPr>
        <w:t xml:space="preserv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But 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publicly reply directly.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925F435" w:rsidR="00F37122" w:rsidRPr="00A341E4" w:rsidRDefault="00F37122" w:rsidP="00852435">
      <w:pPr>
        <w:pStyle w:val="Caption"/>
        <w:keepLines/>
        <w:jc w:val="center"/>
        <w:rPr>
          <w:color w:val="auto"/>
          <w:sz w:val="20"/>
          <w:lang w:val="en-GB"/>
        </w:rPr>
      </w:pPr>
      <w:bookmarkStart w:id="11"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11"/>
      <w:r w:rsidRPr="00A341E4">
        <w:rPr>
          <w:color w:val="auto"/>
          <w:lang w:val="en-GB"/>
        </w:rPr>
        <w:t xml:space="preserve">: </w:t>
      </w:r>
      <w:r>
        <w:rPr>
          <w:color w:val="auto"/>
          <w:lang w:val="en-GB"/>
        </w:rPr>
        <w:t>User engagement indicators</w:t>
      </w:r>
    </w:p>
    <w:p w14:paraId="68DF30F0" w14:textId="77777777"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 by and large as much direct Twitter user engagement as messages from executive actors and institutions at the national and international levels do.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to it does not exceed a share of 0.14% of the number of users following the respective account.</w:t>
      </w:r>
    </w:p>
    <w:p w14:paraId="51D2230D" w14:textId="679FCC3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1BB86E1B"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Caption"/>
        <w:keepNext/>
        <w:keepLines/>
        <w:jc w:val="center"/>
        <w:rPr>
          <w:b/>
          <w:bCs/>
          <w:color w:val="auto"/>
          <w:sz w:val="20"/>
          <w:lang w:val="en-GB"/>
        </w:rPr>
      </w:pPr>
      <w:bookmarkStart w:id="12"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2"/>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4C18FD73" w:rsidR="00213604" w:rsidRDefault="004F646E" w:rsidP="00D114D6">
      <w:pPr>
        <w:spacing w:before="120" w:after="0" w:line="240" w:lineRule="auto"/>
        <w:jc w:val="both"/>
        <w:rPr>
          <w:sz w:val="20"/>
          <w:szCs w:val="18"/>
          <w:lang w:val="en-GB"/>
        </w:rPr>
      </w:pPr>
      <w:r>
        <w:rPr>
          <w:sz w:val="20"/>
          <w:szCs w:val="18"/>
          <w:lang w:val="en-GB"/>
        </w:rPr>
        <w:t xml:space="preserve">Beyond topics, these examples of </w:t>
      </w:r>
      <w:r w:rsidR="00CB7529">
        <w:rPr>
          <w:sz w:val="20"/>
          <w:szCs w:val="18"/>
          <w:lang w:val="en-GB"/>
        </w:rPr>
        <w:t xml:space="preserve">highly engaging outliers </w:t>
      </w:r>
      <w:r>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Pr>
          <w:sz w:val="20"/>
          <w:szCs w:val="18"/>
          <w:lang w:val="en-GB"/>
        </w:rPr>
        <w:t>. We see,</w:t>
      </w:r>
      <w:r w:rsidR="00CB7529">
        <w:rPr>
          <w:sz w:val="20"/>
          <w:szCs w:val="18"/>
          <w:lang w:val="en-GB"/>
        </w:rPr>
        <w:t xml:space="preserve"> for example, clear and concise language, </w:t>
      </w:r>
      <w:r>
        <w:rPr>
          <w:sz w:val="20"/>
          <w:szCs w:val="18"/>
          <w:lang w:val="en-GB"/>
        </w:rPr>
        <w:t xml:space="preserve">numerous </w:t>
      </w:r>
      <w:r w:rsidR="00CB7529">
        <w:rPr>
          <w:sz w:val="20"/>
          <w:szCs w:val="18"/>
          <w:lang w:val="en-GB"/>
        </w:rPr>
        <w:t>hashtags and emojis, as well as embedded media and external links.</w:t>
      </w:r>
      <w:r>
        <w:rPr>
          <w:sz w:val="20"/>
          <w:szCs w:val="18"/>
          <w:lang w:val="en-GB"/>
        </w:rPr>
        <w:t xml:space="preserve"> How much these characteristics </w:t>
      </w:r>
      <w:r w:rsidR="00331D26">
        <w:rPr>
          <w:sz w:val="20"/>
          <w:szCs w:val="18"/>
          <w:lang w:val="en-GB"/>
        </w:rPr>
        <w:t xml:space="preserve">impinge on user engagement </w:t>
      </w:r>
      <w:r>
        <w:rPr>
          <w:sz w:val="20"/>
          <w:szCs w:val="18"/>
          <w:lang w:val="en-GB"/>
        </w:rPr>
        <w:t xml:space="preserve">is hard to model </w:t>
      </w:r>
      <w:r w:rsidR="00331D26">
        <w:rPr>
          <w:sz w:val="20"/>
          <w:szCs w:val="18"/>
          <w:lang w:val="en-GB"/>
        </w:rPr>
        <w:t xml:space="preserve">exactly, </w:t>
      </w:r>
      <w:r>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also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0D3C6A5A"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w:t>
      </w:r>
      <w:r w:rsidR="008073B7">
        <w:rPr>
          <w:sz w:val="20"/>
          <w:szCs w:val="18"/>
          <w:lang w:val="en-GB"/>
        </w:rPr>
        <w:t xml:space="preserve">especially </w:t>
      </w:r>
      <w:r w:rsidR="00D06036">
        <w:rPr>
          <w:sz w:val="20"/>
          <w:szCs w:val="18"/>
          <w:lang w:val="en-GB"/>
        </w:rPr>
        <w:t xml:space="preserve">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proofErr w:type="gramStart"/>
      <w:r w:rsidR="00DC2184">
        <w:rPr>
          <w:sz w:val="20"/>
          <w:szCs w:val="18"/>
          <w:lang w:val="en-GB"/>
        </w:rPr>
        <w:t xml:space="preserve">actually </w:t>
      </w:r>
      <w:r w:rsidR="008073B7">
        <w:rPr>
          <w:sz w:val="20"/>
          <w:szCs w:val="18"/>
          <w:lang w:val="en-GB"/>
        </w:rPr>
        <w:t>use</w:t>
      </w:r>
      <w:proofErr w:type="gramEnd"/>
      <w:r w:rsidR="00D06036">
        <w:rPr>
          <w:sz w:val="20"/>
          <w:szCs w:val="18"/>
          <w:lang w:val="en-GB"/>
        </w:rPr>
        <w:t xml:space="preserve"> social media has been lacking. </w:t>
      </w:r>
      <w:r w:rsidR="00DC2184">
        <w:rPr>
          <w:sz w:val="20"/>
          <w:szCs w:val="18"/>
          <w:lang w:val="en-GB"/>
        </w:rPr>
        <w:t xml:space="preserve">The </w:t>
      </w:r>
      <w:r w:rsidR="00D06036">
        <w:rPr>
          <w:sz w:val="20"/>
          <w:szCs w:val="18"/>
          <w:lang w:val="en-GB"/>
        </w:rPr>
        <w:t xml:space="preserve">bird’s eye </w:t>
      </w:r>
      <w:r w:rsidR="00DC2184">
        <w:rPr>
          <w:sz w:val="20"/>
          <w:szCs w:val="18"/>
          <w:lang w:val="en-GB"/>
        </w:rPr>
        <w:t xml:space="preserve">perspective </w:t>
      </w:r>
      <w:r w:rsidR="008073B7">
        <w:rPr>
          <w:sz w:val="20"/>
          <w:szCs w:val="18"/>
          <w:lang w:val="en-GB"/>
        </w:rPr>
        <w:t>on 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strongly that supranational EU actors do indeed engage in public communication via social media.</w:t>
      </w:r>
    </w:p>
    <w:p w14:paraId="2259B77D" w14:textId="365BD8DC" w:rsidR="0039691C" w:rsidRDefault="00DC2184" w:rsidP="00DC2184">
      <w:pPr>
        <w:spacing w:before="120" w:after="0" w:line="240" w:lineRule="auto"/>
        <w:jc w:val="both"/>
        <w:rPr>
          <w:sz w:val="20"/>
          <w:szCs w:val="18"/>
          <w:lang w:val="en-GB"/>
        </w:rPr>
      </w:pPr>
      <w:r>
        <w:rPr>
          <w:sz w:val="20"/>
          <w:szCs w:val="18"/>
          <w:lang w:val="en-GB"/>
        </w:rPr>
        <w:t xml:space="preserve">Our encompassing description, first of all, shows that the </w:t>
      </w:r>
      <w:r w:rsidR="007344BF">
        <w:rPr>
          <w:sz w:val="20"/>
          <w:szCs w:val="18"/>
          <w:lang w:val="en-GB"/>
        </w:rPr>
        <w:t xml:space="preserve">volume of </w:t>
      </w:r>
      <w:r>
        <w:rPr>
          <w:sz w:val="20"/>
          <w:szCs w:val="18"/>
          <w:lang w:val="en-GB"/>
        </w:rPr>
        <w:t xml:space="preserve">supranational social media </w:t>
      </w:r>
      <w:r w:rsidR="007344BF">
        <w:rPr>
          <w:sz w:val="20"/>
          <w:szCs w:val="18"/>
          <w:lang w:val="en-GB"/>
        </w:rPr>
        <w:t xml:space="preserve">communication </w:t>
      </w:r>
      <w:r>
        <w:rPr>
          <w:sz w:val="20"/>
          <w:szCs w:val="18"/>
          <w:lang w:val="en-GB"/>
        </w:rPr>
        <w:t xml:space="preserve">has grown markedly after 2010, having reached or </w:t>
      </w:r>
      <w:r w:rsidR="0039691C">
        <w:rPr>
          <w:sz w:val="20"/>
          <w:szCs w:val="18"/>
          <w:lang w:val="en-GB"/>
        </w:rPr>
        <w:t>e</w:t>
      </w:r>
      <w:r>
        <w:rPr>
          <w:sz w:val="20"/>
          <w:szCs w:val="18"/>
          <w:lang w:val="en-GB"/>
        </w:rPr>
        <w:t xml:space="preserve">ven exceeding the </w:t>
      </w:r>
      <w:proofErr w:type="gramStart"/>
      <w:r w:rsidR="0039691C">
        <w:rPr>
          <w:sz w:val="20"/>
          <w:szCs w:val="18"/>
          <w:lang w:val="en-GB"/>
        </w:rPr>
        <w:t>amount</w:t>
      </w:r>
      <w:proofErr w:type="gramEnd"/>
      <w:r w:rsidR="0039691C">
        <w:rPr>
          <w:sz w:val="20"/>
          <w:szCs w:val="18"/>
          <w:lang w:val="en-GB"/>
        </w:rPr>
        <w:t xml:space="preserve"> of social media messaging that national executives or international organizations with a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Also </w:t>
      </w:r>
      <w:r w:rsidR="008216DF">
        <w:rPr>
          <w:sz w:val="20"/>
          <w:szCs w:val="18"/>
          <w:lang w:val="en-GB"/>
        </w:rPr>
        <w:t>in</w:t>
      </w:r>
      <w:r w:rsidR="0039691C">
        <w:rPr>
          <w:sz w:val="20"/>
          <w:szCs w:val="18"/>
          <w:lang w:val="en-GB"/>
        </w:rPr>
        <w:t xml:space="preserve"> these </w:t>
      </w:r>
      <w:r w:rsidR="008216DF">
        <w:rPr>
          <w:sz w:val="20"/>
          <w:szCs w:val="18"/>
          <w:lang w:val="en-GB"/>
        </w:rPr>
        <w:t>respects</w:t>
      </w:r>
      <w:r w:rsidR="0039691C">
        <w:rPr>
          <w:sz w:val="20"/>
          <w:szCs w:val="18"/>
          <w:lang w:val="en-GB"/>
        </w:rPr>
        <w:t xml:space="preserve">, supranational EU actors are in no way inferior but often rather excel when compared to domestic and international executives on Twitter. Third, this communicative investment seems to pay off in terms of publicity. The number of users subscribing to supranational EU accounts has been growing on average, and for some actors </w:t>
      </w:r>
      <w:r w:rsidR="008274D3">
        <w:rPr>
          <w:sz w:val="20"/>
          <w:szCs w:val="18"/>
          <w:lang w:val="en-GB"/>
        </w:rPr>
        <w:t>in dramatic ways.</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026937FE"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as regards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on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3B73BBA3" w:rsidR="00904B74" w:rsidRDefault="00AF751E" w:rsidP="00D114D6">
      <w:pPr>
        <w:spacing w:before="120" w:after="0" w:line="240" w:lineRule="auto"/>
        <w:jc w:val="both"/>
        <w:rPr>
          <w:sz w:val="20"/>
          <w:szCs w:val="18"/>
          <w:lang w:val="en-GB"/>
        </w:rPr>
      </w:pPr>
      <w:r>
        <w:rPr>
          <w:sz w:val="20"/>
          <w:szCs w:val="18"/>
          <w:lang w:val="en-GB"/>
        </w:rPr>
        <w:t>Th</w:t>
      </w:r>
      <w:r w:rsidR="008216DF">
        <w:rPr>
          <w:sz w:val="20"/>
          <w:szCs w:val="18"/>
          <w:lang w:val="en-GB"/>
        </w:rPr>
        <w:t>e</w:t>
      </w:r>
      <w:r w:rsidR="00904B74">
        <w:rPr>
          <w:sz w:val="20"/>
          <w:szCs w:val="18"/>
          <w:lang w:val="en-GB"/>
        </w:rPr>
        <w:t xml:space="preserve"> broad and encompassing perspective </w:t>
      </w:r>
      <w:r>
        <w:rPr>
          <w:sz w:val="20"/>
          <w:szCs w:val="18"/>
          <w:lang w:val="en-GB"/>
        </w:rPr>
        <w:t xml:space="preserve">that our bird’s eye </w:t>
      </w:r>
      <w:r w:rsidR="00904B74">
        <w:rPr>
          <w:sz w:val="20"/>
          <w:szCs w:val="18"/>
          <w:lang w:val="en-GB"/>
        </w:rPr>
        <w:t xml:space="preserve">on the increasingly relevant supranational </w:t>
      </w:r>
      <w:r w:rsidR="008216DF">
        <w:rPr>
          <w:sz w:val="20"/>
          <w:szCs w:val="18"/>
          <w:lang w:val="en-GB"/>
        </w:rPr>
        <w:t xml:space="preserve">social media </w:t>
      </w:r>
      <w:r w:rsidR="00904B74">
        <w:rPr>
          <w:sz w:val="20"/>
          <w:szCs w:val="18"/>
          <w:lang w:val="en-GB"/>
        </w:rPr>
        <w:t xml:space="preserve">communication </w:t>
      </w:r>
      <w:r>
        <w:rPr>
          <w:sz w:val="20"/>
          <w:szCs w:val="18"/>
          <w:lang w:val="en-GB"/>
        </w:rPr>
        <w:t xml:space="preserve">provides is </w:t>
      </w:r>
      <w:r w:rsidR="008216DF">
        <w:rPr>
          <w:sz w:val="20"/>
          <w:szCs w:val="18"/>
          <w:lang w:val="en-GB"/>
        </w:rPr>
        <w:t xml:space="preserve">thus </w:t>
      </w:r>
      <w:r>
        <w:rPr>
          <w:sz w:val="20"/>
          <w:szCs w:val="18"/>
          <w:lang w:val="en-GB"/>
        </w:rPr>
        <w:t xml:space="preserve">an important, </w:t>
      </w:r>
      <w:r w:rsidR="008216DF">
        <w:rPr>
          <w:sz w:val="20"/>
          <w:szCs w:val="18"/>
          <w:lang w:val="en-GB"/>
        </w:rPr>
        <w:t xml:space="preserve">yet </w:t>
      </w:r>
      <w:r>
        <w:rPr>
          <w:sz w:val="20"/>
          <w:szCs w:val="18"/>
          <w:lang w:val="en-GB"/>
        </w:rPr>
        <w:t>hardly the final step</w:t>
      </w:r>
      <w:r w:rsidR="00904B74">
        <w:rPr>
          <w:sz w:val="20"/>
          <w:szCs w:val="18"/>
          <w:lang w:val="en-GB"/>
        </w:rPr>
        <w:t xml:space="preserve">. </w:t>
      </w:r>
      <w:r>
        <w:rPr>
          <w:sz w:val="20"/>
          <w:szCs w:val="18"/>
          <w:lang w:val="en-GB"/>
        </w:rPr>
        <w:t xml:space="preserve">Whether and how the </w:t>
      </w:r>
      <w:r w:rsidR="00904B74">
        <w:rPr>
          <w:sz w:val="20"/>
          <w:szCs w:val="18"/>
          <w:lang w:val="en-GB"/>
        </w:rPr>
        <w:t xml:space="preserve">communication </w:t>
      </w:r>
      <w:r>
        <w:rPr>
          <w:sz w:val="20"/>
          <w:szCs w:val="18"/>
          <w:lang w:val="en-GB"/>
        </w:rPr>
        <w:t xml:space="preserve">we describe affects </w:t>
      </w:r>
      <w:r w:rsidR="00904B74">
        <w:rPr>
          <w:sz w:val="20"/>
          <w:szCs w:val="18"/>
          <w:lang w:val="en-GB"/>
        </w:rPr>
        <w:t>the precarious societal legitimacy of supranational decisions making</w:t>
      </w:r>
      <w:r>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Pr>
          <w:sz w:val="20"/>
          <w:szCs w:val="18"/>
          <w:lang w:val="en-GB"/>
        </w:rPr>
        <w:t>scholars</w:t>
      </w:r>
      <w:r w:rsidR="00904B74">
        <w:rPr>
          <w:sz w:val="20"/>
          <w:szCs w:val="18"/>
          <w:lang w:val="en-GB"/>
        </w:rPr>
        <w:t xml:space="preserve"> willing to dig deeper</w:t>
      </w:r>
      <w:r>
        <w:rPr>
          <w:sz w:val="20"/>
          <w:szCs w:val="18"/>
          <w:lang w:val="en-GB"/>
        </w:rPr>
        <w:t xml:space="preserve"> into this type of data</w:t>
      </w:r>
      <w:r w:rsidR="00904B74">
        <w:rPr>
          <w:sz w:val="20"/>
          <w:szCs w:val="18"/>
          <w:lang w:val="en-GB"/>
        </w:rPr>
        <w:t xml:space="preserve">, the patterns </w:t>
      </w:r>
      <w:r>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proofErr w:type="gramStart"/>
      <w:r>
        <w:rPr>
          <w:sz w:val="20"/>
          <w:szCs w:val="18"/>
          <w:lang w:val="en-GB"/>
        </w:rPr>
        <w:t>pointers</w:t>
      </w:r>
      <w:r w:rsidR="00B2374D">
        <w:rPr>
          <w:sz w:val="20"/>
          <w:szCs w:val="18"/>
          <w:lang w:val="en-GB"/>
        </w:rPr>
        <w:t>,</w:t>
      </w:r>
      <w:r>
        <w:rPr>
          <w:sz w:val="20"/>
          <w:szCs w:val="18"/>
          <w:lang w:val="en-GB"/>
        </w:rPr>
        <w:t xml:space="preserve"> in particular</w:t>
      </w:r>
      <w:proofErr w:type="gramEnd"/>
      <w:r>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 different forms and contents of user engagements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especially the clearer communication and higher engagement rates that accounts of individual supranational actors generate, </w:t>
      </w:r>
      <w:r w:rsidR="00B2374D">
        <w:rPr>
          <w:sz w:val="20"/>
          <w:szCs w:val="18"/>
          <w:lang w:val="en-GB"/>
        </w:rPr>
        <w:t>underline</w:t>
      </w:r>
      <w:r w:rsidR="008216DF">
        <w:rPr>
          <w:sz w:val="20"/>
          <w:szCs w:val="18"/>
          <w:lang w:val="en-GB"/>
        </w:rPr>
        <w:t xml:space="preserve"> that the personalization of EU politics can also be meaningfully observed on Twitter.</w:t>
      </w:r>
      <w:r w:rsidR="00B2374D">
        <w:rPr>
          <w:sz w:val="20"/>
          <w:szCs w:val="18"/>
          <w:lang w:val="en-GB"/>
        </w:rPr>
        <w:t xml:space="preserve"> In any case, however, our data demonstrate that social media are a highly relevant channel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4B36E8DB" w14:textId="77777777" w:rsidR="0076658E" w:rsidRPr="0076658E" w:rsidRDefault="00CF6326" w:rsidP="0076658E">
      <w:pPr>
        <w:pStyle w:val="Bibliography"/>
        <w:spacing w:before="120" w:after="0"/>
        <w:jc w:val="both"/>
        <w:rPr>
          <w:sz w:val="20"/>
          <w:szCs w:val="20"/>
        </w:rPr>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76658E" w:rsidRPr="0076658E">
        <w:rPr>
          <w:sz w:val="20"/>
          <w:szCs w:val="20"/>
        </w:rPr>
        <w:t xml:space="preserve">Altides, C. (2009) </w:t>
      </w:r>
      <w:r w:rsidR="0076658E" w:rsidRPr="0076658E">
        <w:rPr>
          <w:i/>
          <w:iCs/>
          <w:sz w:val="20"/>
          <w:szCs w:val="20"/>
        </w:rPr>
        <w:t>Making EU politics public: how the EU institutions develop public communication</w:t>
      </w:r>
      <w:r w:rsidR="0076658E" w:rsidRPr="0076658E">
        <w:rPr>
          <w:sz w:val="20"/>
          <w:szCs w:val="20"/>
        </w:rPr>
        <w:t>, Baden-Baden: Nomos.</w:t>
      </w:r>
    </w:p>
    <w:p w14:paraId="148FEDEE" w14:textId="77777777" w:rsidR="0076658E" w:rsidRPr="0076658E" w:rsidRDefault="0076658E" w:rsidP="0076658E">
      <w:pPr>
        <w:pStyle w:val="Bibliography"/>
        <w:spacing w:before="120" w:after="0"/>
        <w:jc w:val="both"/>
        <w:rPr>
          <w:sz w:val="20"/>
          <w:szCs w:val="20"/>
        </w:rPr>
      </w:pPr>
      <w:r w:rsidRPr="0076658E">
        <w:rPr>
          <w:sz w:val="20"/>
          <w:szCs w:val="20"/>
        </w:rPr>
        <w:t xml:space="preserve">Barisione, M. and Michailidou, A. (eds) (2017) </w:t>
      </w:r>
      <w:r w:rsidRPr="0076658E">
        <w:rPr>
          <w:i/>
          <w:iCs/>
          <w:sz w:val="20"/>
          <w:szCs w:val="20"/>
        </w:rPr>
        <w:t>Social media and European politics: rethinking power and legitimacy in the digital era</w:t>
      </w:r>
      <w:r w:rsidRPr="0076658E">
        <w:rPr>
          <w:sz w:val="20"/>
          <w:szCs w:val="20"/>
        </w:rPr>
        <w:t>, London, United Kingdom: Palgrave Macmillan.</w:t>
      </w:r>
    </w:p>
    <w:p w14:paraId="70A78B2A" w14:textId="77777777" w:rsidR="0076658E" w:rsidRPr="0076658E" w:rsidRDefault="0076658E" w:rsidP="0076658E">
      <w:pPr>
        <w:pStyle w:val="Bibliography"/>
        <w:spacing w:before="120" w:after="0"/>
        <w:jc w:val="both"/>
        <w:rPr>
          <w:sz w:val="20"/>
          <w:szCs w:val="20"/>
        </w:rPr>
      </w:pPr>
      <w:r w:rsidRPr="0076658E">
        <w:rPr>
          <w:sz w:val="20"/>
          <w:szCs w:val="20"/>
        </w:rPr>
        <w:t xml:space="preserve">Benoit, K., Munger, K. and Spirling, A. (2019) ‘Measuring and Explaining Political Sophistication through Textual Complexity’, </w:t>
      </w:r>
      <w:r w:rsidRPr="0076658E">
        <w:rPr>
          <w:i/>
          <w:iCs/>
          <w:sz w:val="20"/>
          <w:szCs w:val="20"/>
        </w:rPr>
        <w:t>American Journal of Political Science</w:t>
      </w:r>
      <w:r w:rsidRPr="0076658E">
        <w:rPr>
          <w:sz w:val="20"/>
          <w:szCs w:val="20"/>
        </w:rPr>
        <w:t xml:space="preserve"> 63(2): 491–508.</w:t>
      </w:r>
    </w:p>
    <w:p w14:paraId="6692C3F0" w14:textId="77777777" w:rsidR="0076658E" w:rsidRPr="0076658E" w:rsidRDefault="0076658E" w:rsidP="0076658E">
      <w:pPr>
        <w:pStyle w:val="Bibliography"/>
        <w:spacing w:before="120" w:after="0"/>
        <w:jc w:val="both"/>
        <w:rPr>
          <w:sz w:val="20"/>
          <w:szCs w:val="20"/>
        </w:rPr>
      </w:pPr>
      <w:r w:rsidRPr="0076658E">
        <w:rPr>
          <w:sz w:val="20"/>
          <w:szCs w:val="20"/>
        </w:rPr>
        <w:t xml:space="preserve">Biber, D., Conrad, S. and Reppen, R. (1998) </w:t>
      </w:r>
      <w:r w:rsidRPr="0076658E">
        <w:rPr>
          <w:i/>
          <w:iCs/>
          <w:sz w:val="20"/>
          <w:szCs w:val="20"/>
        </w:rPr>
        <w:t>Corpus Linguistics: Investigating Language Structure and Use</w:t>
      </w:r>
      <w:r w:rsidRPr="0076658E">
        <w:rPr>
          <w:sz w:val="20"/>
          <w:szCs w:val="20"/>
        </w:rPr>
        <w:t>, Cambridge ; New York: Cambridge University Press.</w:t>
      </w:r>
    </w:p>
    <w:p w14:paraId="2773CDCB" w14:textId="77777777" w:rsidR="0076658E" w:rsidRPr="0076658E" w:rsidRDefault="0076658E" w:rsidP="0076658E">
      <w:pPr>
        <w:pStyle w:val="Bibliography"/>
        <w:spacing w:before="120" w:after="0"/>
        <w:jc w:val="both"/>
        <w:rPr>
          <w:sz w:val="20"/>
          <w:szCs w:val="20"/>
        </w:rPr>
      </w:pPr>
      <w:r w:rsidRPr="0076658E">
        <w:rPr>
          <w:sz w:val="20"/>
          <w:szCs w:val="20"/>
        </w:rPr>
        <w:t xml:space="preserve">Biegoń, D. (2013) ‘Specifying the Arena of Possibilities: Post-structuralist Narrative Analysis and the European Commission’s Legitimation Strategies’, </w:t>
      </w:r>
      <w:r w:rsidRPr="0076658E">
        <w:rPr>
          <w:i/>
          <w:iCs/>
          <w:sz w:val="20"/>
          <w:szCs w:val="20"/>
        </w:rPr>
        <w:t>JCMS: Journal of Common Market Studies</w:t>
      </w:r>
      <w:r w:rsidRPr="0076658E">
        <w:rPr>
          <w:sz w:val="20"/>
          <w:szCs w:val="20"/>
        </w:rPr>
        <w:t xml:space="preserve"> 51(2): 194–211.</w:t>
      </w:r>
    </w:p>
    <w:p w14:paraId="20AAA509" w14:textId="77777777" w:rsidR="0076658E" w:rsidRPr="0076658E" w:rsidRDefault="0076658E" w:rsidP="0076658E">
      <w:pPr>
        <w:pStyle w:val="Bibliography"/>
        <w:spacing w:before="120" w:after="0"/>
        <w:jc w:val="both"/>
        <w:rPr>
          <w:sz w:val="20"/>
          <w:szCs w:val="20"/>
        </w:rPr>
      </w:pPr>
      <w:r w:rsidRPr="0076658E">
        <w:rPr>
          <w:sz w:val="20"/>
          <w:szCs w:val="20"/>
        </w:rPr>
        <w:t xml:space="preserve">Bijsmans, P. and Altides, C. (2007) ‘“Bridging the Gap” between EU Politics and Citizens? The European Commission, National Media and EU Affairs in the Public Sphere’, </w:t>
      </w:r>
      <w:r w:rsidRPr="0076658E">
        <w:rPr>
          <w:i/>
          <w:iCs/>
          <w:sz w:val="20"/>
          <w:szCs w:val="20"/>
        </w:rPr>
        <w:t>Journal of European Integration</w:t>
      </w:r>
      <w:r w:rsidRPr="0076658E">
        <w:rPr>
          <w:sz w:val="20"/>
          <w:szCs w:val="20"/>
        </w:rPr>
        <w:t xml:space="preserve"> 29(3): 323–340.</w:t>
      </w:r>
    </w:p>
    <w:p w14:paraId="4D8A1E43" w14:textId="77777777" w:rsidR="0076658E" w:rsidRPr="0076658E" w:rsidRDefault="0076658E" w:rsidP="0076658E">
      <w:pPr>
        <w:pStyle w:val="Bibliography"/>
        <w:spacing w:before="120" w:after="0"/>
        <w:jc w:val="both"/>
        <w:rPr>
          <w:sz w:val="20"/>
          <w:szCs w:val="20"/>
        </w:rPr>
      </w:pPr>
      <w:r w:rsidRPr="0076658E">
        <w:rPr>
          <w:sz w:val="20"/>
          <w:szCs w:val="20"/>
        </w:rPr>
        <w:t xml:space="preserve">Bischof, D. and Senninger, R. (2018) ‘Simple politics for the people? Complexity in campaign messages and political knowledge’, </w:t>
      </w:r>
      <w:r w:rsidRPr="0076658E">
        <w:rPr>
          <w:i/>
          <w:iCs/>
          <w:sz w:val="20"/>
          <w:szCs w:val="20"/>
        </w:rPr>
        <w:t>European Journal of Political Research</w:t>
      </w:r>
      <w:r w:rsidRPr="0076658E">
        <w:rPr>
          <w:sz w:val="20"/>
          <w:szCs w:val="20"/>
        </w:rPr>
        <w:t xml:space="preserve"> 57(2): 473–495.</w:t>
      </w:r>
    </w:p>
    <w:p w14:paraId="46B7E1EE" w14:textId="77777777" w:rsidR="0076658E" w:rsidRPr="0076658E" w:rsidRDefault="0076658E" w:rsidP="0076658E">
      <w:pPr>
        <w:pStyle w:val="Bibliography"/>
        <w:spacing w:before="120" w:after="0"/>
        <w:jc w:val="both"/>
        <w:rPr>
          <w:sz w:val="20"/>
          <w:szCs w:val="20"/>
        </w:rPr>
      </w:pPr>
      <w:r w:rsidRPr="0076658E">
        <w:rPr>
          <w:sz w:val="20"/>
          <w:szCs w:val="20"/>
        </w:rPr>
        <w:t xml:space="preserve">Boomgaarden, H. et al. (2013) ‘Across time and space: Explaining variation in news coverage of the European Union’, </w:t>
      </w:r>
      <w:r w:rsidRPr="0076658E">
        <w:rPr>
          <w:i/>
          <w:iCs/>
          <w:sz w:val="20"/>
          <w:szCs w:val="20"/>
        </w:rPr>
        <w:t>European Journal of Political Research</w:t>
      </w:r>
      <w:r w:rsidRPr="0076658E">
        <w:rPr>
          <w:sz w:val="20"/>
          <w:szCs w:val="20"/>
        </w:rPr>
        <w:t xml:space="preserve"> 52(5): 608–629.</w:t>
      </w:r>
    </w:p>
    <w:p w14:paraId="17634F64"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Bressanelli, E., Koop, C. and Reh, C. (2020) ‘EU Actors under pressure: politicisation and depoliticisation as strategic responses’, </w:t>
      </w:r>
      <w:r w:rsidRPr="0076658E">
        <w:rPr>
          <w:i/>
          <w:iCs/>
          <w:sz w:val="20"/>
          <w:szCs w:val="20"/>
        </w:rPr>
        <w:t>Journal of European Public Policy</w:t>
      </w:r>
      <w:r w:rsidRPr="0076658E">
        <w:rPr>
          <w:sz w:val="20"/>
          <w:szCs w:val="20"/>
        </w:rPr>
        <w:t xml:space="preserve"> 27(3): 329–341.</w:t>
      </w:r>
    </w:p>
    <w:p w14:paraId="57E96055" w14:textId="77777777" w:rsidR="0076658E" w:rsidRPr="0076658E" w:rsidRDefault="0076658E" w:rsidP="0076658E">
      <w:pPr>
        <w:pStyle w:val="Bibliography"/>
        <w:spacing w:before="120" w:after="0"/>
        <w:jc w:val="both"/>
        <w:rPr>
          <w:sz w:val="20"/>
          <w:szCs w:val="20"/>
        </w:rPr>
      </w:pPr>
      <w:r w:rsidRPr="0076658E">
        <w:rPr>
          <w:sz w:val="20"/>
          <w:szCs w:val="20"/>
        </w:rPr>
        <w:t xml:space="preserve">Brüggemann, M. (2010) ‘Information Policy and the Public Sphere’, </w:t>
      </w:r>
      <w:r w:rsidRPr="0076658E">
        <w:rPr>
          <w:i/>
          <w:iCs/>
          <w:sz w:val="20"/>
          <w:szCs w:val="20"/>
        </w:rPr>
        <w:t>Javnost - The Public</w:t>
      </w:r>
      <w:r w:rsidRPr="0076658E">
        <w:rPr>
          <w:sz w:val="20"/>
          <w:szCs w:val="20"/>
        </w:rPr>
        <w:t xml:space="preserve"> 17(1): 5–21.</w:t>
      </w:r>
    </w:p>
    <w:p w14:paraId="2F216EC7" w14:textId="77777777" w:rsidR="0076658E" w:rsidRPr="0076658E" w:rsidRDefault="0076658E" w:rsidP="0076658E">
      <w:pPr>
        <w:pStyle w:val="Bibliography"/>
        <w:spacing w:before="120" w:after="0"/>
        <w:jc w:val="both"/>
        <w:rPr>
          <w:sz w:val="20"/>
          <w:szCs w:val="20"/>
        </w:rPr>
      </w:pPr>
      <w:r w:rsidRPr="0076658E">
        <w:rPr>
          <w:sz w:val="20"/>
          <w:szCs w:val="20"/>
        </w:rPr>
        <w:t xml:space="preserve">Cage, J., Herve, N. and Mazoyer, B. (2020) </w:t>
      </w:r>
      <w:r w:rsidRPr="0076658E">
        <w:rPr>
          <w:i/>
          <w:iCs/>
          <w:sz w:val="20"/>
          <w:szCs w:val="20"/>
        </w:rPr>
        <w:t>Social Media and Newsroom Production Decisions</w:t>
      </w:r>
      <w:r w:rsidRPr="0076658E">
        <w:rPr>
          <w:sz w:val="20"/>
          <w:szCs w:val="20"/>
        </w:rPr>
        <w:t>, Rochester, NY: Social Science Research Network, doi:10.2139/ssrn.3663899.</w:t>
      </w:r>
    </w:p>
    <w:p w14:paraId="30A3903A" w14:textId="77777777" w:rsidR="0076658E" w:rsidRPr="0076658E" w:rsidRDefault="0076658E" w:rsidP="0076658E">
      <w:pPr>
        <w:pStyle w:val="Bibliography"/>
        <w:spacing w:before="120" w:after="0"/>
        <w:jc w:val="both"/>
        <w:rPr>
          <w:sz w:val="20"/>
          <w:szCs w:val="20"/>
        </w:rPr>
      </w:pPr>
      <w:r w:rsidRPr="0076658E">
        <w:rPr>
          <w:sz w:val="20"/>
          <w:szCs w:val="20"/>
        </w:rPr>
        <w:t xml:space="preserve">Curtin, D. and Meijer, A. J. (2006) ‘Does transparency strengthen legitimacy?’, </w:t>
      </w:r>
      <w:r w:rsidRPr="0076658E">
        <w:rPr>
          <w:i/>
          <w:iCs/>
          <w:sz w:val="20"/>
          <w:szCs w:val="20"/>
        </w:rPr>
        <w:t>Information Polity</w:t>
      </w:r>
      <w:r w:rsidRPr="0076658E">
        <w:rPr>
          <w:sz w:val="20"/>
          <w:szCs w:val="20"/>
        </w:rPr>
        <w:t xml:space="preserve"> 11(2): 109–122.</w:t>
      </w:r>
    </w:p>
    <w:p w14:paraId="0DE0C2F0"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(2001) ‘“Europe” in the News: A Cross-National Comparative Study of the News Coverage of Key EU Events’, </w:t>
      </w:r>
      <w:r w:rsidRPr="0076658E">
        <w:rPr>
          <w:i/>
          <w:iCs/>
          <w:sz w:val="20"/>
          <w:szCs w:val="20"/>
        </w:rPr>
        <w:t>European Union Politics</w:t>
      </w:r>
      <w:r w:rsidRPr="0076658E">
        <w:rPr>
          <w:sz w:val="20"/>
          <w:szCs w:val="20"/>
        </w:rPr>
        <w:t xml:space="preserve"> 2(3): 283–307.</w:t>
      </w:r>
    </w:p>
    <w:p w14:paraId="02A317B4"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Banducci, S., Semetko, H. and Boomgaarden, H. (2006) ‘The News Coverage of the 2004 European Parliamentary Election Campaign in 25 Countries’, </w:t>
      </w:r>
      <w:r w:rsidRPr="0076658E">
        <w:rPr>
          <w:i/>
          <w:iCs/>
          <w:sz w:val="20"/>
          <w:szCs w:val="20"/>
        </w:rPr>
        <w:t>European Union Politics</w:t>
      </w:r>
      <w:r w:rsidRPr="0076658E">
        <w:rPr>
          <w:sz w:val="20"/>
          <w:szCs w:val="20"/>
        </w:rPr>
        <w:t xml:space="preserve"> 7(4): 477–504.</w:t>
      </w:r>
    </w:p>
    <w:p w14:paraId="45D115CE" w14:textId="77777777" w:rsidR="0076658E" w:rsidRPr="0076658E" w:rsidRDefault="0076658E" w:rsidP="0076658E">
      <w:pPr>
        <w:pStyle w:val="Bibliography"/>
        <w:spacing w:before="120" w:after="0"/>
        <w:jc w:val="both"/>
        <w:rPr>
          <w:sz w:val="20"/>
          <w:szCs w:val="20"/>
        </w:rPr>
      </w:pPr>
      <w:r w:rsidRPr="0076658E">
        <w:rPr>
          <w:sz w:val="20"/>
          <w:szCs w:val="20"/>
        </w:rPr>
        <w:t xml:space="preserve">De Wilde, P. and Zürn, M. (2012) ‘Can the Politicization of European Integration be Reversed?*’, </w:t>
      </w:r>
      <w:r w:rsidRPr="0076658E">
        <w:rPr>
          <w:i/>
          <w:iCs/>
          <w:sz w:val="20"/>
          <w:szCs w:val="20"/>
        </w:rPr>
        <w:t>JCMS: Journal of Common Market Studies</w:t>
      </w:r>
      <w:r w:rsidRPr="0076658E">
        <w:rPr>
          <w:sz w:val="20"/>
          <w:szCs w:val="20"/>
        </w:rPr>
        <w:t xml:space="preserve"> 50(s1): 137–153.</w:t>
      </w:r>
    </w:p>
    <w:p w14:paraId="013E4946"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(2018) ‘Self-legitimation in the face of politicization: Why international organizations centralized public communication’, </w:t>
      </w:r>
      <w:r w:rsidRPr="0076658E">
        <w:rPr>
          <w:i/>
          <w:iCs/>
          <w:sz w:val="20"/>
          <w:szCs w:val="20"/>
        </w:rPr>
        <w:t>The Review of International Organizations</w:t>
      </w:r>
      <w:r w:rsidRPr="0076658E">
        <w:rPr>
          <w:sz w:val="20"/>
          <w:szCs w:val="20"/>
        </w:rPr>
        <w:t xml:space="preserve"> 13(4): 519–546.</w:t>
      </w:r>
    </w:p>
    <w:p w14:paraId="4D8DA6D8"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(2020) ‘IO Public Communication Going Digital? Understanding Social Media Adoption and Use in Times of Politicization’, in </w:t>
      </w:r>
      <w:r w:rsidRPr="0076658E">
        <w:rPr>
          <w:i/>
          <w:iCs/>
          <w:sz w:val="20"/>
          <w:szCs w:val="20"/>
        </w:rPr>
        <w:t>Digital Diplomacy and International Organisations</w:t>
      </w:r>
      <w:r w:rsidRPr="0076658E">
        <w:rPr>
          <w:sz w:val="20"/>
          <w:szCs w:val="20"/>
        </w:rPr>
        <w:t>. Routledge.</w:t>
      </w:r>
    </w:p>
    <w:p w14:paraId="4E4690F3" w14:textId="77777777" w:rsidR="0076658E" w:rsidRPr="0076658E" w:rsidRDefault="0076658E" w:rsidP="0076658E">
      <w:pPr>
        <w:pStyle w:val="Bibliography"/>
        <w:spacing w:before="120" w:after="0"/>
        <w:jc w:val="both"/>
        <w:rPr>
          <w:sz w:val="20"/>
          <w:szCs w:val="20"/>
        </w:rPr>
      </w:pPr>
      <w:r w:rsidRPr="0076658E">
        <w:rPr>
          <w:sz w:val="20"/>
          <w:szCs w:val="20"/>
        </w:rPr>
        <w:t xml:space="preserve">European Parliament. Directorate General for Parliamentary Research Services. (2021) </w:t>
      </w:r>
      <w:r w:rsidRPr="0076658E">
        <w:rPr>
          <w:i/>
          <w:iCs/>
          <w:sz w:val="20"/>
          <w:szCs w:val="20"/>
        </w:rPr>
        <w:t>The Twitter activity of members of the European Council: a content analysis of EU leaders’ use of Twitter in 2019 20.</w:t>
      </w:r>
      <w:r w:rsidRPr="0076658E">
        <w:rPr>
          <w:sz w:val="20"/>
          <w:szCs w:val="20"/>
        </w:rPr>
        <w:t>, LU: Publications Office, available at https://data.europa.eu/doi/10.2861/17201 (accessed June 2021).</w:t>
      </w:r>
    </w:p>
    <w:p w14:paraId="04338F7A" w14:textId="77777777" w:rsidR="0076658E" w:rsidRPr="0076658E" w:rsidRDefault="0076658E" w:rsidP="0076658E">
      <w:pPr>
        <w:pStyle w:val="Bibliography"/>
        <w:spacing w:before="120" w:after="0"/>
        <w:jc w:val="both"/>
        <w:rPr>
          <w:sz w:val="20"/>
          <w:szCs w:val="20"/>
        </w:rPr>
      </w:pPr>
      <w:r w:rsidRPr="0076658E">
        <w:rPr>
          <w:sz w:val="20"/>
          <w:szCs w:val="20"/>
        </w:rPr>
        <w:t xml:space="preserve">Fairclough, N. (2003) </w:t>
      </w:r>
      <w:r w:rsidRPr="0076658E">
        <w:rPr>
          <w:i/>
          <w:iCs/>
          <w:sz w:val="20"/>
          <w:szCs w:val="20"/>
        </w:rPr>
        <w:t>Analysing Discourse: Textual Analysis for Social Research</w:t>
      </w:r>
      <w:r w:rsidRPr="0076658E">
        <w:rPr>
          <w:sz w:val="20"/>
          <w:szCs w:val="20"/>
        </w:rPr>
        <w:t>, Psychology Press.</w:t>
      </w:r>
    </w:p>
    <w:p w14:paraId="4913DC97" w14:textId="77777777" w:rsidR="0076658E" w:rsidRPr="0076658E" w:rsidRDefault="0076658E" w:rsidP="0076658E">
      <w:pPr>
        <w:pStyle w:val="Bibliography"/>
        <w:spacing w:before="120" w:after="0"/>
        <w:jc w:val="both"/>
        <w:rPr>
          <w:sz w:val="20"/>
          <w:szCs w:val="20"/>
        </w:rPr>
      </w:pPr>
      <w:r w:rsidRPr="0076658E">
        <w:rPr>
          <w:sz w:val="20"/>
          <w:szCs w:val="20"/>
        </w:rPr>
        <w:t xml:space="preserve">Fazekas, Z., Popa, S. A., Schmitt, H., Barberá, P. and Theocharis, Y. (2021) ‘Elite-public interaction on twitter: EU issue expansion in the campaign’, </w:t>
      </w:r>
      <w:r w:rsidRPr="0076658E">
        <w:rPr>
          <w:i/>
          <w:iCs/>
          <w:sz w:val="20"/>
          <w:szCs w:val="20"/>
        </w:rPr>
        <w:t>European Journal of Political Research</w:t>
      </w:r>
      <w:r w:rsidRPr="0076658E">
        <w:rPr>
          <w:sz w:val="20"/>
          <w:szCs w:val="20"/>
        </w:rPr>
        <w:t xml:space="preserve"> 60(2): 376–396.</w:t>
      </w:r>
    </w:p>
    <w:p w14:paraId="1A025936" w14:textId="77777777" w:rsidR="0076658E" w:rsidRPr="0076658E" w:rsidRDefault="0076658E" w:rsidP="0076658E">
      <w:pPr>
        <w:pStyle w:val="Bibliography"/>
        <w:spacing w:before="120" w:after="0"/>
        <w:jc w:val="both"/>
        <w:rPr>
          <w:sz w:val="20"/>
          <w:szCs w:val="20"/>
        </w:rPr>
      </w:pPr>
      <w:r w:rsidRPr="0076658E">
        <w:rPr>
          <w:sz w:val="20"/>
          <w:szCs w:val="20"/>
        </w:rPr>
        <w:t xml:space="preserve">Ferrara, F. M. and Angino, S. (2021) </w:t>
      </w:r>
      <w:r w:rsidRPr="0076658E">
        <w:rPr>
          <w:i/>
          <w:iCs/>
          <w:sz w:val="20"/>
          <w:szCs w:val="20"/>
        </w:rPr>
        <w:t>Does Clarity Make Central Banks More Engaging? Lessons from ECB Communications</w:t>
      </w:r>
      <w:r w:rsidRPr="0076658E">
        <w:rPr>
          <w:sz w:val="20"/>
          <w:szCs w:val="20"/>
        </w:rPr>
        <w:t>.</w:t>
      </w:r>
    </w:p>
    <w:p w14:paraId="6725239D" w14:textId="77777777" w:rsidR="0076658E" w:rsidRPr="0076658E" w:rsidRDefault="0076658E" w:rsidP="0076658E">
      <w:pPr>
        <w:pStyle w:val="Bibliography"/>
        <w:spacing w:before="120" w:after="0"/>
        <w:jc w:val="both"/>
        <w:rPr>
          <w:sz w:val="20"/>
          <w:szCs w:val="20"/>
        </w:rPr>
      </w:pPr>
      <w:r w:rsidRPr="0076658E">
        <w:rPr>
          <w:sz w:val="20"/>
          <w:szCs w:val="20"/>
        </w:rPr>
        <w:t xml:space="preserve">Firouzjaei, H. A. and Özdemir, S. F. (2020) ‘Effect of readability of political tweets on positive user engagement’, in </w:t>
      </w:r>
      <w:r w:rsidRPr="0076658E">
        <w:rPr>
          <w:i/>
          <w:iCs/>
          <w:sz w:val="20"/>
          <w:szCs w:val="20"/>
        </w:rPr>
        <w:t>IEEE/ACM International Conference on Advances in Social Networks Analysis and Mining (ASONAM)</w:t>
      </w:r>
      <w:r w:rsidRPr="0076658E">
        <w:rPr>
          <w:sz w:val="20"/>
          <w:szCs w:val="20"/>
        </w:rPr>
        <w:t>. 2020, available at https://web.ntpu.edu.tw/~myday/doc/ASONAM2020/ASONAM2020_Proceedings/pdf/papers/137_074_884.pdf.</w:t>
      </w:r>
    </w:p>
    <w:p w14:paraId="16D42451" w14:textId="77777777" w:rsidR="0076658E" w:rsidRPr="0076658E" w:rsidRDefault="0076658E" w:rsidP="0076658E">
      <w:pPr>
        <w:pStyle w:val="Bibliography"/>
        <w:spacing w:before="120" w:after="0"/>
        <w:jc w:val="both"/>
        <w:rPr>
          <w:sz w:val="20"/>
          <w:szCs w:val="20"/>
        </w:rPr>
      </w:pPr>
      <w:r w:rsidRPr="0076658E">
        <w:rPr>
          <w:sz w:val="20"/>
          <w:szCs w:val="20"/>
        </w:rPr>
        <w:t xml:space="preserve">Flesch, R. (1948) ‘A new readability yardstick.’, </w:t>
      </w:r>
      <w:r w:rsidRPr="0076658E">
        <w:rPr>
          <w:i/>
          <w:iCs/>
          <w:sz w:val="20"/>
          <w:szCs w:val="20"/>
        </w:rPr>
        <w:t>Journal of Applied Psychology</w:t>
      </w:r>
      <w:r w:rsidRPr="0076658E">
        <w:rPr>
          <w:sz w:val="20"/>
          <w:szCs w:val="20"/>
        </w:rPr>
        <w:t xml:space="preserve"> 32(3): 221.</w:t>
      </w:r>
    </w:p>
    <w:p w14:paraId="6381E894" w14:textId="77777777" w:rsidR="0076658E" w:rsidRPr="0076658E" w:rsidRDefault="0076658E" w:rsidP="0076658E">
      <w:pPr>
        <w:pStyle w:val="Bibliography"/>
        <w:spacing w:before="120" w:after="0"/>
        <w:jc w:val="both"/>
        <w:rPr>
          <w:sz w:val="20"/>
          <w:szCs w:val="20"/>
        </w:rPr>
      </w:pPr>
      <w:r w:rsidRPr="0076658E">
        <w:rPr>
          <w:sz w:val="20"/>
          <w:szCs w:val="20"/>
        </w:rPr>
        <w:t xml:space="preserve">Fowler, R., Hodge, B., Trew, T. and Kress, G. (1979) </w:t>
      </w:r>
      <w:r w:rsidRPr="0076658E">
        <w:rPr>
          <w:i/>
          <w:iCs/>
          <w:sz w:val="20"/>
          <w:szCs w:val="20"/>
        </w:rPr>
        <w:t>Language and Control</w:t>
      </w:r>
      <w:r w:rsidRPr="0076658E">
        <w:rPr>
          <w:sz w:val="20"/>
          <w:szCs w:val="20"/>
        </w:rPr>
        <w:t>, London: Routledge.</w:t>
      </w:r>
    </w:p>
    <w:p w14:paraId="09C4559A" w14:textId="77777777" w:rsidR="0076658E" w:rsidRPr="0076658E" w:rsidRDefault="0076658E" w:rsidP="0076658E">
      <w:pPr>
        <w:pStyle w:val="Bibliography"/>
        <w:spacing w:before="120" w:after="0"/>
        <w:jc w:val="both"/>
        <w:rPr>
          <w:sz w:val="20"/>
          <w:szCs w:val="20"/>
        </w:rPr>
      </w:pPr>
      <w:r w:rsidRPr="0076658E">
        <w:rPr>
          <w:sz w:val="20"/>
          <w:szCs w:val="20"/>
        </w:rPr>
        <w:t xml:space="preserve">Gerhards, J., Offerhaus, A. and Roose, J. (2009) ‘Wer ist verantwortlich? Die Europäische Union, ihre Nationalstaaten und die massenmediale Attribution von Verantwortung für Erfolge und Misserfolge’, </w:t>
      </w:r>
      <w:r w:rsidRPr="0076658E">
        <w:rPr>
          <w:i/>
          <w:iCs/>
          <w:sz w:val="20"/>
          <w:szCs w:val="20"/>
        </w:rPr>
        <w:t>Politische Vierteljahresschrift Sonderhefte</w:t>
      </w:r>
      <w:r w:rsidRPr="0076658E">
        <w:rPr>
          <w:sz w:val="20"/>
          <w:szCs w:val="20"/>
        </w:rPr>
        <w:t xml:space="preserve"> Band 42 ‘Politik in der Mediendemokratie’: 529–558.</w:t>
      </w:r>
    </w:p>
    <w:p w14:paraId="4C14B4A2" w14:textId="77777777" w:rsidR="0076658E" w:rsidRPr="0076658E" w:rsidRDefault="0076658E" w:rsidP="0076658E">
      <w:pPr>
        <w:pStyle w:val="Bibliography"/>
        <w:spacing w:before="120" w:after="0"/>
        <w:jc w:val="both"/>
        <w:rPr>
          <w:sz w:val="20"/>
          <w:szCs w:val="20"/>
        </w:rPr>
      </w:pPr>
      <w:r w:rsidRPr="0076658E">
        <w:rPr>
          <w:sz w:val="20"/>
          <w:szCs w:val="20"/>
        </w:rPr>
        <w:t xml:space="preserve">Harteveld, E., Schaper, J., Lange, S. L. D. and Brug, W. V. D. (2018) ‘Blaming Brussels? The Impact of (News about) the Refugee Crisis on Attitudes towards the EU and National Politics’, </w:t>
      </w:r>
      <w:r w:rsidRPr="0076658E">
        <w:rPr>
          <w:i/>
          <w:iCs/>
          <w:sz w:val="20"/>
          <w:szCs w:val="20"/>
        </w:rPr>
        <w:t>JCMS: Journal of Common Market Studies</w:t>
      </w:r>
      <w:r w:rsidRPr="0076658E">
        <w:rPr>
          <w:sz w:val="20"/>
          <w:szCs w:val="20"/>
        </w:rPr>
        <w:t xml:space="preserve"> 56(1): 157–177.</w:t>
      </w:r>
    </w:p>
    <w:p w14:paraId="516293D3" w14:textId="77777777" w:rsidR="0076658E" w:rsidRPr="0076658E" w:rsidRDefault="0076658E" w:rsidP="0076658E">
      <w:pPr>
        <w:pStyle w:val="Bibliography"/>
        <w:spacing w:before="120" w:after="0"/>
        <w:jc w:val="both"/>
        <w:rPr>
          <w:sz w:val="20"/>
          <w:szCs w:val="20"/>
        </w:rPr>
      </w:pPr>
      <w:r w:rsidRPr="0076658E">
        <w:rPr>
          <w:sz w:val="20"/>
          <w:szCs w:val="20"/>
        </w:rPr>
        <w:t xml:space="preserve">Hartlapp, M., Metz, J. and Rauh, C. (2014) </w:t>
      </w:r>
      <w:r w:rsidRPr="0076658E">
        <w:rPr>
          <w:i/>
          <w:iCs/>
          <w:sz w:val="20"/>
          <w:szCs w:val="20"/>
        </w:rPr>
        <w:t>Which Policy for Europe?: Power and Conflict inside the European Commission</w:t>
      </w:r>
      <w:r w:rsidRPr="0076658E">
        <w:rPr>
          <w:sz w:val="20"/>
          <w:szCs w:val="20"/>
        </w:rPr>
        <w:t>, Oxford: Oxford University Press.</w:t>
      </w:r>
    </w:p>
    <w:p w14:paraId="4DCDF1D9" w14:textId="77777777" w:rsidR="0076658E" w:rsidRPr="0076658E" w:rsidRDefault="0076658E" w:rsidP="0076658E">
      <w:pPr>
        <w:pStyle w:val="Bibliography"/>
        <w:spacing w:before="120" w:after="0"/>
        <w:jc w:val="both"/>
        <w:rPr>
          <w:sz w:val="20"/>
          <w:szCs w:val="20"/>
        </w:rPr>
      </w:pPr>
      <w:r w:rsidRPr="0076658E">
        <w:rPr>
          <w:sz w:val="20"/>
          <w:szCs w:val="20"/>
        </w:rPr>
        <w:t xml:space="preserve">Haßler, J., Magin, M., Russmann, U. and Fenoll, V. (eds) (2021) </w:t>
      </w:r>
      <w:r w:rsidRPr="0076658E">
        <w:rPr>
          <w:i/>
          <w:iCs/>
          <w:sz w:val="20"/>
          <w:szCs w:val="20"/>
        </w:rPr>
        <w:t>Campaigning on Facebook in the 2019 European Parliament Election: Informing, Interacting with, and Mobilising Voters</w:t>
      </w:r>
      <w:r w:rsidRPr="0076658E">
        <w:rPr>
          <w:sz w:val="20"/>
          <w:szCs w:val="20"/>
        </w:rPr>
        <w:t>, Palgrave Macmillan, doi:10.1007/978-3-030-73851-8.</w:t>
      </w:r>
    </w:p>
    <w:p w14:paraId="70C3F6C2" w14:textId="77777777" w:rsidR="0076658E" w:rsidRPr="0076658E" w:rsidRDefault="0076658E" w:rsidP="0076658E">
      <w:pPr>
        <w:pStyle w:val="Bibliography"/>
        <w:spacing w:before="120" w:after="0"/>
        <w:jc w:val="both"/>
        <w:rPr>
          <w:sz w:val="20"/>
          <w:szCs w:val="20"/>
        </w:rPr>
      </w:pPr>
      <w:r w:rsidRPr="0076658E">
        <w:rPr>
          <w:sz w:val="20"/>
          <w:szCs w:val="20"/>
        </w:rPr>
        <w:t xml:space="preserve">Hobolt, S. B. and Tilley, J. (2014) </w:t>
      </w:r>
      <w:r w:rsidRPr="0076658E">
        <w:rPr>
          <w:i/>
          <w:iCs/>
          <w:sz w:val="20"/>
          <w:szCs w:val="20"/>
        </w:rPr>
        <w:t>Blaming Europe?: Responsibility Without Accountability in the European Union</w:t>
      </w:r>
      <w:r w:rsidRPr="0076658E">
        <w:rPr>
          <w:sz w:val="20"/>
          <w:szCs w:val="20"/>
        </w:rPr>
        <w:t>, Oxford University Press, doi:10.1093/acprof:oso/9780199665686.001.0001.</w:t>
      </w:r>
    </w:p>
    <w:p w14:paraId="28DE6405" w14:textId="77777777" w:rsidR="0076658E" w:rsidRPr="0076658E" w:rsidRDefault="0076658E" w:rsidP="0076658E">
      <w:pPr>
        <w:pStyle w:val="Bibliography"/>
        <w:spacing w:before="120" w:after="0"/>
        <w:jc w:val="both"/>
        <w:rPr>
          <w:sz w:val="20"/>
          <w:szCs w:val="20"/>
        </w:rPr>
      </w:pPr>
      <w:r w:rsidRPr="0076658E">
        <w:rPr>
          <w:sz w:val="20"/>
          <w:szCs w:val="20"/>
        </w:rPr>
        <w:t xml:space="preserve">Hooghe, L. et al. (2017) </w:t>
      </w:r>
      <w:r w:rsidRPr="0076658E">
        <w:rPr>
          <w:i/>
          <w:iCs/>
          <w:sz w:val="20"/>
          <w:szCs w:val="20"/>
        </w:rPr>
        <w:t>Measuring International Authority: A Postfunctionalist Theory of Governance, Volume III</w:t>
      </w:r>
      <w:r w:rsidRPr="0076658E">
        <w:rPr>
          <w:sz w:val="20"/>
          <w:szCs w:val="20"/>
        </w:rPr>
        <w:t>, Oxford, New York: Oxford University Press.</w:t>
      </w:r>
    </w:p>
    <w:p w14:paraId="76AFCAE3"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Hooghe, L. and Marks, G. (2009) ‘A Postfunctionalist theory of European integration: From permissive consensus to constraining dissensus’, </w:t>
      </w:r>
      <w:r w:rsidRPr="0076658E">
        <w:rPr>
          <w:i/>
          <w:iCs/>
          <w:sz w:val="20"/>
          <w:szCs w:val="20"/>
        </w:rPr>
        <w:t>British Journal of Political Science</w:t>
      </w:r>
      <w:r w:rsidRPr="0076658E">
        <w:rPr>
          <w:sz w:val="20"/>
          <w:szCs w:val="20"/>
        </w:rPr>
        <w:t xml:space="preserve"> 39(1): 1–23.</w:t>
      </w:r>
    </w:p>
    <w:p w14:paraId="510753B6" w14:textId="77777777" w:rsidR="0076658E" w:rsidRPr="0076658E" w:rsidRDefault="0076658E" w:rsidP="0076658E">
      <w:pPr>
        <w:pStyle w:val="Bibliography"/>
        <w:spacing w:before="120" w:after="0"/>
        <w:jc w:val="both"/>
        <w:rPr>
          <w:sz w:val="20"/>
          <w:szCs w:val="20"/>
        </w:rPr>
      </w:pPr>
      <w:r w:rsidRPr="0076658E">
        <w:rPr>
          <w:sz w:val="20"/>
          <w:szCs w:val="20"/>
        </w:rPr>
        <w:t xml:space="preserve">Hüller, T. (2007) ‘Assessing EU strategies for publicity’, </w:t>
      </w:r>
      <w:r w:rsidRPr="0076658E">
        <w:rPr>
          <w:i/>
          <w:iCs/>
          <w:sz w:val="20"/>
          <w:szCs w:val="20"/>
        </w:rPr>
        <w:t>Journal of European Public Policy</w:t>
      </w:r>
      <w:r w:rsidRPr="0076658E">
        <w:rPr>
          <w:sz w:val="20"/>
          <w:szCs w:val="20"/>
        </w:rPr>
        <w:t xml:space="preserve"> 14(4): 563–581.</w:t>
      </w:r>
    </w:p>
    <w:p w14:paraId="212340AA" w14:textId="77777777" w:rsidR="0076658E" w:rsidRPr="0076658E" w:rsidRDefault="0076658E" w:rsidP="0076658E">
      <w:pPr>
        <w:pStyle w:val="Bibliography"/>
        <w:spacing w:before="120" w:after="0"/>
        <w:jc w:val="both"/>
        <w:rPr>
          <w:sz w:val="20"/>
          <w:szCs w:val="20"/>
        </w:rPr>
      </w:pPr>
      <w:r w:rsidRPr="0076658E">
        <w:rPr>
          <w:sz w:val="20"/>
          <w:szCs w:val="20"/>
        </w:rPr>
        <w:t xml:space="preserve">Jungherr, A. (2016) ‘Twitter use in election campaigns: A systematic literature review’, </w:t>
      </w:r>
      <w:r w:rsidRPr="0076658E">
        <w:rPr>
          <w:i/>
          <w:iCs/>
          <w:sz w:val="20"/>
          <w:szCs w:val="20"/>
        </w:rPr>
        <w:t>Journal of Information Technology &amp; Politics</w:t>
      </w:r>
      <w:r w:rsidRPr="0076658E">
        <w:rPr>
          <w:sz w:val="20"/>
          <w:szCs w:val="20"/>
        </w:rPr>
        <w:t xml:space="preserve"> 13(1): 72–91.</w:t>
      </w:r>
    </w:p>
    <w:p w14:paraId="6074818A" w14:textId="77777777" w:rsidR="0076658E" w:rsidRPr="0076658E" w:rsidRDefault="0076658E" w:rsidP="0076658E">
      <w:pPr>
        <w:pStyle w:val="Bibliography"/>
        <w:spacing w:before="120" w:after="0"/>
        <w:jc w:val="both"/>
        <w:rPr>
          <w:sz w:val="20"/>
          <w:szCs w:val="20"/>
        </w:rPr>
      </w:pPr>
      <w:r w:rsidRPr="0076658E">
        <w:rPr>
          <w:sz w:val="20"/>
          <w:szCs w:val="20"/>
        </w:rPr>
        <w:t xml:space="preserve">Koopmans, R. and Statham, P. (2010) </w:t>
      </w:r>
      <w:r w:rsidRPr="0076658E">
        <w:rPr>
          <w:i/>
          <w:iCs/>
          <w:sz w:val="20"/>
          <w:szCs w:val="20"/>
        </w:rPr>
        <w:t>The making of a European public sphere</w:t>
      </w:r>
      <w:r w:rsidRPr="0076658E">
        <w:rPr>
          <w:sz w:val="20"/>
          <w:szCs w:val="20"/>
        </w:rPr>
        <w:t>, Cambridge: Cambridge University Press.</w:t>
      </w:r>
    </w:p>
    <w:p w14:paraId="709A656B" w14:textId="77777777" w:rsidR="0076658E" w:rsidRPr="0076658E" w:rsidRDefault="0076658E" w:rsidP="0076658E">
      <w:pPr>
        <w:pStyle w:val="Bibliography"/>
        <w:spacing w:before="120" w:after="0"/>
        <w:jc w:val="both"/>
        <w:rPr>
          <w:sz w:val="20"/>
          <w:szCs w:val="20"/>
        </w:rPr>
      </w:pPr>
      <w:r w:rsidRPr="0076658E">
        <w:rPr>
          <w:sz w:val="20"/>
          <w:szCs w:val="20"/>
        </w:rPr>
        <w:t xml:space="preserve">Krzyżanowski, M. (2020) ‘Digital Diplomacy or Political Communication? Exploring Social Media in The EU Institutions from a Critical Discourse Perspective’, in </w:t>
      </w:r>
      <w:r w:rsidRPr="0076658E">
        <w:rPr>
          <w:i/>
          <w:iCs/>
          <w:sz w:val="20"/>
          <w:szCs w:val="20"/>
        </w:rPr>
        <w:t>Digital Diplomacy and International Organisations</w:t>
      </w:r>
      <w:r w:rsidRPr="0076658E">
        <w:rPr>
          <w:sz w:val="20"/>
          <w:szCs w:val="20"/>
        </w:rPr>
        <w:t>. Routledge.</w:t>
      </w:r>
    </w:p>
    <w:p w14:paraId="6E31B55A" w14:textId="77777777" w:rsidR="0076658E" w:rsidRPr="0076658E" w:rsidRDefault="0076658E" w:rsidP="0076658E">
      <w:pPr>
        <w:pStyle w:val="Bibliography"/>
        <w:spacing w:before="120" w:after="0"/>
        <w:jc w:val="both"/>
        <w:rPr>
          <w:sz w:val="20"/>
          <w:szCs w:val="20"/>
        </w:rPr>
      </w:pPr>
      <w:r w:rsidRPr="0076658E">
        <w:rPr>
          <w:sz w:val="20"/>
          <w:szCs w:val="20"/>
        </w:rPr>
        <w:t xml:space="preserve">Meyer, C. (1999) ‘Political Legitimacy and the Invisibility of Politics: Exploring the European Union’s Communication Deficit’, </w:t>
      </w:r>
      <w:r w:rsidRPr="0076658E">
        <w:rPr>
          <w:i/>
          <w:iCs/>
          <w:sz w:val="20"/>
          <w:szCs w:val="20"/>
        </w:rPr>
        <w:t>JCMS: Journal of Common Market Studies</w:t>
      </w:r>
      <w:r w:rsidRPr="0076658E">
        <w:rPr>
          <w:sz w:val="20"/>
          <w:szCs w:val="20"/>
        </w:rPr>
        <w:t xml:space="preserve"> 37(4): 617–639.</w:t>
      </w:r>
    </w:p>
    <w:p w14:paraId="040724BA" w14:textId="77777777" w:rsidR="0076658E" w:rsidRPr="0076658E" w:rsidRDefault="0076658E" w:rsidP="0076658E">
      <w:pPr>
        <w:pStyle w:val="Bibliography"/>
        <w:spacing w:before="120" w:after="0"/>
        <w:jc w:val="both"/>
        <w:rPr>
          <w:sz w:val="20"/>
          <w:szCs w:val="20"/>
        </w:rPr>
      </w:pPr>
      <w:r w:rsidRPr="0076658E">
        <w:rPr>
          <w:sz w:val="20"/>
          <w:szCs w:val="20"/>
        </w:rPr>
        <w:t xml:space="preserve">Moretti, F. and Pestre, D. (2015) ‘Bankspeak: The Language of World Bank Reports’, </w:t>
      </w:r>
      <w:r w:rsidRPr="0076658E">
        <w:rPr>
          <w:i/>
          <w:iCs/>
          <w:sz w:val="20"/>
          <w:szCs w:val="20"/>
        </w:rPr>
        <w:t>The New Left Review</w:t>
      </w:r>
      <w:r w:rsidRPr="0076658E">
        <w:rPr>
          <w:sz w:val="20"/>
          <w:szCs w:val="20"/>
        </w:rPr>
        <w:t xml:space="preserve"> 92(MAR APR 2015): 75–99.</w:t>
      </w:r>
    </w:p>
    <w:p w14:paraId="21189DC2" w14:textId="77777777" w:rsidR="0076658E" w:rsidRPr="0076658E" w:rsidRDefault="0076658E" w:rsidP="0076658E">
      <w:pPr>
        <w:pStyle w:val="Bibliography"/>
        <w:spacing w:before="120" w:after="0"/>
        <w:jc w:val="both"/>
        <w:rPr>
          <w:sz w:val="20"/>
          <w:szCs w:val="20"/>
        </w:rPr>
      </w:pPr>
      <w:r w:rsidRPr="0076658E">
        <w:rPr>
          <w:sz w:val="20"/>
          <w:szCs w:val="20"/>
        </w:rPr>
        <w:t xml:space="preserve">Nulty, P., Theocharis, Y., Popa, S. A., Parnet, O. and Benoit, K. (2016) ‘Social media and political communication in the 2014 elections to the European Parliament’, </w:t>
      </w:r>
      <w:r w:rsidRPr="0076658E">
        <w:rPr>
          <w:i/>
          <w:iCs/>
          <w:sz w:val="20"/>
          <w:szCs w:val="20"/>
        </w:rPr>
        <w:t>Electoral Studies</w:t>
      </w:r>
      <w:r w:rsidRPr="0076658E">
        <w:rPr>
          <w:sz w:val="20"/>
          <w:szCs w:val="20"/>
        </w:rPr>
        <w:t xml:space="preserve"> 44: 429–444.</w:t>
      </w:r>
    </w:p>
    <w:p w14:paraId="4868D911" w14:textId="77777777" w:rsidR="0076658E" w:rsidRPr="0076658E" w:rsidRDefault="0076658E" w:rsidP="0076658E">
      <w:pPr>
        <w:pStyle w:val="Bibliography"/>
        <w:spacing w:before="120" w:after="0"/>
        <w:jc w:val="both"/>
        <w:rPr>
          <w:sz w:val="20"/>
          <w:szCs w:val="20"/>
        </w:rPr>
      </w:pPr>
      <w:r w:rsidRPr="0076658E">
        <w:rPr>
          <w:sz w:val="20"/>
          <w:szCs w:val="20"/>
        </w:rPr>
        <w:t xml:space="preserve">Ooms, J. and Sites, D. (2020) </w:t>
      </w:r>
      <w:r w:rsidRPr="0076658E">
        <w:rPr>
          <w:i/>
          <w:iCs/>
          <w:sz w:val="20"/>
          <w:szCs w:val="20"/>
        </w:rPr>
        <w:t>cld2: Google’s Compact Language Detector 2</w:t>
      </w:r>
      <w:r w:rsidRPr="0076658E">
        <w:rPr>
          <w:sz w:val="20"/>
          <w:szCs w:val="20"/>
        </w:rPr>
        <w:t>, 15 December 2020, available at https://CRAN.R-project.org/package=cld2 (accessed June 2021).</w:t>
      </w:r>
    </w:p>
    <w:p w14:paraId="795C46DA" w14:textId="77777777" w:rsidR="0076658E" w:rsidRPr="0076658E" w:rsidRDefault="0076658E" w:rsidP="0076658E">
      <w:pPr>
        <w:pStyle w:val="Bibliography"/>
        <w:spacing w:before="120" w:after="0"/>
        <w:jc w:val="both"/>
        <w:rPr>
          <w:sz w:val="20"/>
          <w:szCs w:val="20"/>
        </w:rPr>
      </w:pPr>
      <w:r w:rsidRPr="0076658E">
        <w:rPr>
          <w:sz w:val="20"/>
          <w:szCs w:val="20"/>
        </w:rPr>
        <w:t xml:space="preserve">Orwell, G. (1946) ‘Politics and the English Language’, </w:t>
      </w:r>
      <w:r w:rsidRPr="0076658E">
        <w:rPr>
          <w:i/>
          <w:iCs/>
          <w:sz w:val="20"/>
          <w:szCs w:val="20"/>
        </w:rPr>
        <w:t>Horizon</w:t>
      </w:r>
      <w:r w:rsidRPr="0076658E">
        <w:rPr>
          <w:sz w:val="20"/>
          <w:szCs w:val="20"/>
        </w:rPr>
        <w:t xml:space="preserve"> 13(76): 252–265.</w:t>
      </w:r>
    </w:p>
    <w:p w14:paraId="641705B1" w14:textId="77777777" w:rsidR="0076658E" w:rsidRPr="0076658E" w:rsidRDefault="0076658E" w:rsidP="0076658E">
      <w:pPr>
        <w:pStyle w:val="Bibliography"/>
        <w:spacing w:before="120" w:after="0"/>
        <w:jc w:val="both"/>
        <w:rPr>
          <w:sz w:val="20"/>
          <w:szCs w:val="20"/>
        </w:rPr>
      </w:pPr>
      <w:r w:rsidRPr="0076658E">
        <w:rPr>
          <w:sz w:val="20"/>
          <w:szCs w:val="20"/>
        </w:rPr>
        <w:t xml:space="preserve">Oschatz, C., Stier, S. and Maier, J. (2021) ‘Twitter in the News: An Analysis of Embedded Tweets in Political News Coverage’, </w:t>
      </w:r>
      <w:r w:rsidRPr="0076658E">
        <w:rPr>
          <w:i/>
          <w:iCs/>
          <w:sz w:val="20"/>
          <w:szCs w:val="20"/>
        </w:rPr>
        <w:t>Digital Journalism</w:t>
      </w:r>
      <w:r w:rsidRPr="0076658E">
        <w:rPr>
          <w:sz w:val="20"/>
          <w:szCs w:val="20"/>
        </w:rPr>
        <w:t xml:space="preserve"> 0(0): 1–20.</w:t>
      </w:r>
    </w:p>
    <w:p w14:paraId="624231BD"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(2021a) ‘Between neo-functionalist optimism and post-functionalist pessimism: Integrating politicisation into integration theory’, in N. Brack and S. Gürkan (eds). </w:t>
      </w:r>
      <w:r w:rsidRPr="0076658E">
        <w:rPr>
          <w:i/>
          <w:iCs/>
          <w:sz w:val="20"/>
          <w:szCs w:val="20"/>
        </w:rPr>
        <w:t>Theorising the Crises of the European Union</w:t>
      </w:r>
      <w:r w:rsidRPr="0076658E">
        <w:rPr>
          <w:sz w:val="20"/>
          <w:szCs w:val="20"/>
        </w:rPr>
        <w:t>. Abingdon, Oxon: Routledge, pp. 119–137.</w:t>
      </w:r>
    </w:p>
    <w:p w14:paraId="207B02B8"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(2021b) ‘From the Berlaymont to the citizen? The language of European Commission press releases 1985-2020’, in </w:t>
      </w:r>
      <w:r w:rsidRPr="0076658E">
        <w:rPr>
          <w:i/>
          <w:iCs/>
          <w:sz w:val="20"/>
          <w:szCs w:val="20"/>
        </w:rPr>
        <w:t>International Studies Association</w:t>
      </w:r>
      <w:r w:rsidRPr="0076658E">
        <w:rPr>
          <w:sz w:val="20"/>
          <w:szCs w:val="20"/>
        </w:rPr>
        <w:t>. 2021, available at https://www.researchgate.net/publication/350152854_From_the_Berlaymont_to_the_citizen_The_language_of_European_Commission_press_releases_1985-2020.</w:t>
      </w:r>
    </w:p>
    <w:p w14:paraId="2A240544" w14:textId="77777777" w:rsidR="0076658E" w:rsidRPr="0076658E" w:rsidRDefault="0076658E" w:rsidP="0076658E">
      <w:pPr>
        <w:pStyle w:val="Bibliography"/>
        <w:spacing w:before="120" w:after="0"/>
        <w:jc w:val="both"/>
        <w:rPr>
          <w:sz w:val="20"/>
          <w:szCs w:val="20"/>
        </w:rPr>
      </w:pPr>
      <w:r w:rsidRPr="0076658E">
        <w:rPr>
          <w:sz w:val="20"/>
          <w:szCs w:val="20"/>
        </w:rPr>
        <w:t xml:space="preserve">Rauh, C., Bes, B. J. and Schoonvelde, M. (2020) ‘Undermining, defusing or defending European integration? Assessing public communication of European executives in times of EU politicisation’, </w:t>
      </w:r>
      <w:r w:rsidRPr="0076658E">
        <w:rPr>
          <w:i/>
          <w:iCs/>
          <w:sz w:val="20"/>
          <w:szCs w:val="20"/>
        </w:rPr>
        <w:t>European Journal of Political Research</w:t>
      </w:r>
      <w:r w:rsidRPr="0076658E">
        <w:rPr>
          <w:sz w:val="20"/>
          <w:szCs w:val="20"/>
        </w:rPr>
        <w:t xml:space="preserve"> 59(2): 397–423.</w:t>
      </w:r>
    </w:p>
    <w:p w14:paraId="42EAD2ED" w14:textId="77777777" w:rsidR="0076658E" w:rsidRPr="0076658E" w:rsidRDefault="0076658E" w:rsidP="0076658E">
      <w:pPr>
        <w:pStyle w:val="Bibliography"/>
        <w:spacing w:before="120" w:after="0"/>
        <w:jc w:val="both"/>
        <w:rPr>
          <w:sz w:val="20"/>
          <w:szCs w:val="20"/>
        </w:rPr>
      </w:pPr>
      <w:r w:rsidRPr="0076658E">
        <w:rPr>
          <w:sz w:val="20"/>
          <w:szCs w:val="20"/>
        </w:rPr>
        <w:t xml:space="preserve">Risse, T. (2014) </w:t>
      </w:r>
      <w:r w:rsidRPr="0076658E">
        <w:rPr>
          <w:i/>
          <w:iCs/>
          <w:sz w:val="20"/>
          <w:szCs w:val="20"/>
        </w:rPr>
        <w:t>European Public Spheres: Politics Is Back</w:t>
      </w:r>
      <w:r w:rsidRPr="0076658E">
        <w:rPr>
          <w:sz w:val="20"/>
          <w:szCs w:val="20"/>
        </w:rPr>
        <w:t>, Cambridge: Cambridge University Press.</w:t>
      </w:r>
    </w:p>
    <w:p w14:paraId="45AAA40A" w14:textId="77777777" w:rsidR="0076658E" w:rsidRPr="0076658E" w:rsidRDefault="0076658E" w:rsidP="0076658E">
      <w:pPr>
        <w:pStyle w:val="Bibliography"/>
        <w:spacing w:before="120" w:after="0"/>
        <w:jc w:val="both"/>
        <w:rPr>
          <w:sz w:val="20"/>
          <w:szCs w:val="20"/>
        </w:rPr>
      </w:pPr>
      <w:r w:rsidRPr="0076658E">
        <w:rPr>
          <w:sz w:val="20"/>
          <w:szCs w:val="20"/>
        </w:rPr>
        <w:t xml:space="preserve">Schimmelfennig, F. (2020) ‘Politicisation management in the European Union’, </w:t>
      </w:r>
      <w:r w:rsidRPr="0076658E">
        <w:rPr>
          <w:i/>
          <w:iCs/>
          <w:sz w:val="20"/>
          <w:szCs w:val="20"/>
        </w:rPr>
        <w:t>Journal of European Public Policy</w:t>
      </w:r>
      <w:r w:rsidRPr="0076658E">
        <w:rPr>
          <w:sz w:val="20"/>
          <w:szCs w:val="20"/>
        </w:rPr>
        <w:t xml:space="preserve"> 27(3): 342–361.</w:t>
      </w:r>
    </w:p>
    <w:p w14:paraId="3E63FA96" w14:textId="77777777" w:rsidR="0076658E" w:rsidRPr="0076658E" w:rsidRDefault="0076658E" w:rsidP="0076658E">
      <w:pPr>
        <w:pStyle w:val="Bibliography"/>
        <w:spacing w:before="120" w:after="0"/>
        <w:jc w:val="both"/>
        <w:rPr>
          <w:sz w:val="20"/>
          <w:szCs w:val="20"/>
        </w:rPr>
      </w:pPr>
      <w:r w:rsidRPr="0076658E">
        <w:rPr>
          <w:sz w:val="20"/>
          <w:szCs w:val="20"/>
        </w:rPr>
        <w:t xml:space="preserve">Segesten, A. D. and Bossetta, M. (2017) ‘A typology of political participation online: how citizens used Twitter to mobilize during the 2015 British general elections’, </w:t>
      </w:r>
      <w:r w:rsidRPr="0076658E">
        <w:rPr>
          <w:i/>
          <w:iCs/>
          <w:sz w:val="20"/>
          <w:szCs w:val="20"/>
        </w:rPr>
        <w:t>Information, Communication &amp; Society</w:t>
      </w:r>
      <w:r w:rsidRPr="0076658E">
        <w:rPr>
          <w:sz w:val="20"/>
          <w:szCs w:val="20"/>
        </w:rPr>
        <w:t xml:space="preserve"> 20(11): 1625–1643.</w:t>
      </w:r>
    </w:p>
    <w:p w14:paraId="1C911600" w14:textId="77777777" w:rsidR="0076658E" w:rsidRPr="0076658E" w:rsidRDefault="0076658E" w:rsidP="0076658E">
      <w:pPr>
        <w:pStyle w:val="Bibliography"/>
        <w:spacing w:before="120" w:after="0"/>
        <w:jc w:val="both"/>
        <w:rPr>
          <w:sz w:val="20"/>
          <w:szCs w:val="20"/>
        </w:rPr>
      </w:pPr>
      <w:r w:rsidRPr="0076658E">
        <w:rPr>
          <w:sz w:val="20"/>
          <w:szCs w:val="20"/>
        </w:rPr>
        <w:t xml:space="preserve">Silva, T., Kartalis, Y. and Lobo, M. C. (2021) ‘Highlighting supranational institutions? An automated analysis of EU politicisation (2002–2017)’, </w:t>
      </w:r>
      <w:r w:rsidRPr="0076658E">
        <w:rPr>
          <w:i/>
          <w:iCs/>
          <w:sz w:val="20"/>
          <w:szCs w:val="20"/>
        </w:rPr>
        <w:t>West European Politics</w:t>
      </w:r>
      <w:r w:rsidRPr="0076658E">
        <w:rPr>
          <w:sz w:val="20"/>
          <w:szCs w:val="20"/>
        </w:rPr>
        <w:t xml:space="preserve"> 0(0): 1–25.</w:t>
      </w:r>
    </w:p>
    <w:p w14:paraId="0505B8BF" w14:textId="77777777" w:rsidR="0076658E" w:rsidRPr="0076658E" w:rsidRDefault="0076658E" w:rsidP="0076658E">
      <w:pPr>
        <w:pStyle w:val="Bibliography"/>
        <w:spacing w:before="120" w:after="0"/>
        <w:jc w:val="both"/>
        <w:rPr>
          <w:sz w:val="20"/>
          <w:szCs w:val="20"/>
        </w:rPr>
      </w:pPr>
      <w:r w:rsidRPr="0076658E">
        <w:rPr>
          <w:sz w:val="20"/>
          <w:szCs w:val="20"/>
        </w:rPr>
        <w:t xml:space="preserve">Stier, S., Bleier, A., Lietz, H. and Strohmaier, M. (2018) ‘Election Campaigning on Social Media: Politicians, Audiences, and the Mediation of Political Communication on Facebook and Twitter’, </w:t>
      </w:r>
      <w:r w:rsidRPr="0076658E">
        <w:rPr>
          <w:i/>
          <w:iCs/>
          <w:sz w:val="20"/>
          <w:szCs w:val="20"/>
        </w:rPr>
        <w:t>Political Communication</w:t>
      </w:r>
      <w:r w:rsidRPr="0076658E">
        <w:rPr>
          <w:sz w:val="20"/>
          <w:szCs w:val="20"/>
        </w:rPr>
        <w:t xml:space="preserve"> 35(1): 50–74.</w:t>
      </w:r>
    </w:p>
    <w:p w14:paraId="478D3A73" w14:textId="77777777" w:rsidR="0076658E" w:rsidRPr="0076658E" w:rsidRDefault="0076658E" w:rsidP="0076658E">
      <w:pPr>
        <w:pStyle w:val="Bibliography"/>
        <w:spacing w:before="120" w:after="0"/>
        <w:jc w:val="both"/>
        <w:rPr>
          <w:sz w:val="20"/>
          <w:szCs w:val="20"/>
        </w:rPr>
      </w:pPr>
      <w:r w:rsidRPr="0076658E">
        <w:rPr>
          <w:sz w:val="20"/>
          <w:szCs w:val="20"/>
        </w:rPr>
        <w:t xml:space="preserve">Tang, Y. and Hew, K. F. (2018) ‘Emoticon, Emoji, and Sticker Use in Computer-Mediated Communications: Understanding Its Communicative Function, Impact, User Behavior, and Motive’, in L. Deng, W. W. K. Ma, and C. W. R. Fong (eds). </w:t>
      </w:r>
      <w:r w:rsidRPr="0076658E">
        <w:rPr>
          <w:i/>
          <w:iCs/>
          <w:sz w:val="20"/>
          <w:szCs w:val="20"/>
        </w:rPr>
        <w:t>New Media for Educational Change</w:t>
      </w:r>
      <w:r w:rsidRPr="0076658E">
        <w:rPr>
          <w:sz w:val="20"/>
          <w:szCs w:val="20"/>
        </w:rPr>
        <w:t>. 2018, Singapore: Springer, pp. 191–201.</w:t>
      </w:r>
    </w:p>
    <w:p w14:paraId="1008170F" w14:textId="77777777" w:rsidR="0076658E" w:rsidRPr="0076658E" w:rsidRDefault="0076658E" w:rsidP="0076658E">
      <w:pPr>
        <w:pStyle w:val="Bibliography"/>
        <w:spacing w:before="120" w:after="0"/>
        <w:jc w:val="both"/>
        <w:rPr>
          <w:sz w:val="20"/>
          <w:szCs w:val="20"/>
        </w:rPr>
      </w:pPr>
      <w:r w:rsidRPr="0076658E">
        <w:rPr>
          <w:sz w:val="20"/>
          <w:szCs w:val="20"/>
        </w:rPr>
        <w:t xml:space="preserve">Thibault, P. J. (1991) ‘Grammar, technocracy, and the noun’, in E. Ventola (ed.). </w:t>
      </w:r>
      <w:r w:rsidRPr="0076658E">
        <w:rPr>
          <w:i/>
          <w:iCs/>
          <w:sz w:val="20"/>
          <w:szCs w:val="20"/>
        </w:rPr>
        <w:t>Functional and Systemic Linguistics: Approaches and Uses</w:t>
      </w:r>
      <w:r w:rsidRPr="0076658E">
        <w:rPr>
          <w:sz w:val="20"/>
          <w:szCs w:val="20"/>
        </w:rPr>
        <w:t>. Berlin: Walter de Gruyter, pp. 281–306.</w:t>
      </w:r>
    </w:p>
    <w:p w14:paraId="216966A7" w14:textId="77777777" w:rsidR="0076658E" w:rsidRPr="0076658E" w:rsidRDefault="0076658E" w:rsidP="0076658E">
      <w:pPr>
        <w:pStyle w:val="Bibliography"/>
        <w:spacing w:before="120" w:after="0"/>
        <w:jc w:val="both"/>
        <w:rPr>
          <w:sz w:val="20"/>
          <w:szCs w:val="20"/>
        </w:rPr>
      </w:pPr>
      <w:r w:rsidRPr="0076658E">
        <w:rPr>
          <w:sz w:val="20"/>
          <w:szCs w:val="20"/>
        </w:rPr>
        <w:t xml:space="preserve">Tolochko, P., Song, H. and Boomgaarden, H. (2019) ‘“That Looks Hard!”: Effects of Objective and Perceived Textual Complexity on Factual and Structural Political Knowledge’, </w:t>
      </w:r>
      <w:r w:rsidRPr="0076658E">
        <w:rPr>
          <w:i/>
          <w:iCs/>
          <w:sz w:val="20"/>
          <w:szCs w:val="20"/>
        </w:rPr>
        <w:t>Political Communication</w:t>
      </w:r>
      <w:r w:rsidRPr="0076658E">
        <w:rPr>
          <w:sz w:val="20"/>
          <w:szCs w:val="20"/>
        </w:rPr>
        <w:t xml:space="preserve"> 36(4): 609–628.</w:t>
      </w:r>
    </w:p>
    <w:p w14:paraId="6393E417"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Trenz, H. (2008) ‘Understanding Media Impact on European Integration: Enhancing or Restricting the Scope of Legitimacy of the EU?’, </w:t>
      </w:r>
      <w:r w:rsidRPr="0076658E">
        <w:rPr>
          <w:i/>
          <w:iCs/>
          <w:sz w:val="20"/>
          <w:szCs w:val="20"/>
        </w:rPr>
        <w:t>Journal of European Integration</w:t>
      </w:r>
      <w:r w:rsidRPr="0076658E">
        <w:rPr>
          <w:sz w:val="20"/>
          <w:szCs w:val="20"/>
        </w:rPr>
        <w:t xml:space="preserve"> 30(2): 291–309.</w:t>
      </w:r>
    </w:p>
    <w:p w14:paraId="3BA234E0" w14:textId="77777777" w:rsidR="0076658E" w:rsidRPr="0076658E" w:rsidRDefault="0076658E" w:rsidP="0076658E">
      <w:pPr>
        <w:pStyle w:val="Bibliography"/>
        <w:spacing w:before="120" w:after="0"/>
        <w:jc w:val="both"/>
        <w:rPr>
          <w:sz w:val="20"/>
          <w:szCs w:val="20"/>
        </w:rPr>
      </w:pPr>
      <w:r w:rsidRPr="0076658E">
        <w:rPr>
          <w:sz w:val="20"/>
          <w:szCs w:val="20"/>
        </w:rPr>
        <w:t xml:space="preserve">Trenz, H.-J. (2004) ‘Media Coverage on European Governance: Exploring the European Public Sphere in National Quality Newspapers’, </w:t>
      </w:r>
      <w:r w:rsidRPr="0076658E">
        <w:rPr>
          <w:i/>
          <w:iCs/>
          <w:sz w:val="20"/>
          <w:szCs w:val="20"/>
        </w:rPr>
        <w:t>European Journal of Communication</w:t>
      </w:r>
      <w:r w:rsidRPr="0076658E">
        <w:rPr>
          <w:sz w:val="20"/>
          <w:szCs w:val="20"/>
        </w:rPr>
        <w:t xml:space="preserve"> 19(3): 291–319.</w:t>
      </w:r>
    </w:p>
    <w:p w14:paraId="58D34C24" w14:textId="77777777" w:rsidR="0076658E" w:rsidRPr="0076658E" w:rsidRDefault="0076658E" w:rsidP="0076658E">
      <w:pPr>
        <w:pStyle w:val="Bibliography"/>
        <w:spacing w:before="120" w:after="0"/>
        <w:jc w:val="both"/>
        <w:rPr>
          <w:sz w:val="20"/>
          <w:szCs w:val="20"/>
        </w:rPr>
      </w:pPr>
      <w:r w:rsidRPr="0076658E">
        <w:rPr>
          <w:sz w:val="20"/>
          <w:szCs w:val="20"/>
        </w:rPr>
        <w:t xml:space="preserve">Umit, R. (2017) ‘Strategic communication of EU affairs: an analysis of legislative behaviour on Twitter’, </w:t>
      </w:r>
      <w:r w:rsidRPr="0076658E">
        <w:rPr>
          <w:i/>
          <w:iCs/>
          <w:sz w:val="20"/>
          <w:szCs w:val="20"/>
        </w:rPr>
        <w:t>Journal of Legislative Studies</w:t>
      </w:r>
      <w:r w:rsidRPr="0076658E">
        <w:rPr>
          <w:sz w:val="20"/>
          <w:szCs w:val="20"/>
        </w:rPr>
        <w:t xml:space="preserve"> 23(1): 93–124.</w:t>
      </w:r>
    </w:p>
    <w:p w14:paraId="3D1CE7F5" w14:textId="77777777" w:rsidR="0076658E" w:rsidRPr="0076658E" w:rsidRDefault="0076658E" w:rsidP="0076658E">
      <w:pPr>
        <w:pStyle w:val="Bibliography"/>
        <w:spacing w:before="120" w:after="0"/>
        <w:jc w:val="both"/>
        <w:rPr>
          <w:sz w:val="20"/>
          <w:szCs w:val="20"/>
        </w:rPr>
      </w:pPr>
      <w:r w:rsidRPr="0076658E">
        <w:rPr>
          <w:sz w:val="20"/>
          <w:szCs w:val="20"/>
        </w:rPr>
        <w:t xml:space="preserve">Walter, S. (2015) ‘Explaining the visibility of EU citizens: a multi-level analysis of European Union news’, </w:t>
      </w:r>
      <w:r w:rsidRPr="0076658E">
        <w:rPr>
          <w:i/>
          <w:iCs/>
          <w:sz w:val="20"/>
          <w:szCs w:val="20"/>
        </w:rPr>
        <w:t>European Political Science Review</w:t>
      </w:r>
      <w:r w:rsidRPr="0076658E">
        <w:rPr>
          <w:sz w:val="20"/>
          <w:szCs w:val="20"/>
        </w:rPr>
        <w:t xml:space="preserve"> FirstView: 1–21.</w:t>
      </w:r>
    </w:p>
    <w:p w14:paraId="18FB648B" w14:textId="77777777" w:rsidR="0076658E" w:rsidRPr="0076658E" w:rsidRDefault="0076658E" w:rsidP="0076658E">
      <w:pPr>
        <w:pStyle w:val="Bibliography"/>
        <w:spacing w:before="120" w:after="0"/>
        <w:jc w:val="both"/>
        <w:rPr>
          <w:sz w:val="20"/>
          <w:szCs w:val="20"/>
        </w:rPr>
      </w:pPr>
      <w:r w:rsidRPr="0076658E">
        <w:rPr>
          <w:sz w:val="20"/>
          <w:szCs w:val="20"/>
        </w:rPr>
        <w:t xml:space="preserve">Zaiotti, R. (2020) ‘The (UN)Making of International Organisations’ Digital Reputation: The European Union, the “refugee crisis,” and social media’, in </w:t>
      </w:r>
      <w:r w:rsidRPr="0076658E">
        <w:rPr>
          <w:i/>
          <w:iCs/>
          <w:sz w:val="20"/>
          <w:szCs w:val="20"/>
        </w:rPr>
        <w:t>Digital Diplomacy and International Organisations</w:t>
      </w:r>
      <w:r w:rsidRPr="0076658E">
        <w:rPr>
          <w:sz w:val="20"/>
          <w:szCs w:val="20"/>
        </w:rPr>
        <w:t>. Routledge.</w:t>
      </w:r>
    </w:p>
    <w:p w14:paraId="012B6611" w14:textId="4054983B" w:rsidR="006628FE" w:rsidRPr="00846A63" w:rsidRDefault="00CF6326" w:rsidP="0076658E">
      <w:pPr>
        <w:spacing w:before="120" w:after="0" w:line="240" w:lineRule="auto"/>
        <w:jc w:val="both"/>
        <w:rPr>
          <w:sz w:val="20"/>
          <w:szCs w:val="20"/>
          <w:lang w:val="en-GB"/>
        </w:rPr>
      </w:pPr>
      <w:r w:rsidRPr="0076658E">
        <w:rPr>
          <w:sz w:val="20"/>
          <w:szCs w:val="20"/>
          <w:lang w:val="en-GB"/>
        </w:rPr>
        <w:fldChar w:fldCharType="end"/>
      </w:r>
    </w:p>
    <w:sectPr w:rsidR="006628FE" w:rsidRPr="00846A63" w:rsidSect="00CB0566">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9E7A3" w14:textId="77777777" w:rsidR="00216716" w:rsidRDefault="00216716" w:rsidP="00675AF9">
      <w:pPr>
        <w:spacing w:after="0" w:line="240" w:lineRule="auto"/>
      </w:pPr>
      <w:r>
        <w:separator/>
      </w:r>
    </w:p>
  </w:endnote>
  <w:endnote w:type="continuationSeparator" w:id="0">
    <w:p w14:paraId="13638F12" w14:textId="77777777" w:rsidR="00216716" w:rsidRDefault="00216716"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A31C1" w14:textId="77777777" w:rsidR="00216716" w:rsidRDefault="00216716" w:rsidP="00675AF9">
      <w:pPr>
        <w:spacing w:after="0" w:line="240" w:lineRule="auto"/>
      </w:pPr>
      <w:r>
        <w:separator/>
      </w:r>
    </w:p>
  </w:footnote>
  <w:footnote w:type="continuationSeparator" w:id="0">
    <w:p w14:paraId="2C84A114" w14:textId="77777777" w:rsidR="00216716" w:rsidRDefault="00216716" w:rsidP="00675AF9">
      <w:pPr>
        <w:spacing w:after="0" w:line="240" w:lineRule="auto"/>
      </w:pPr>
      <w:r>
        <w:continuationSeparator/>
      </w:r>
    </w:p>
  </w:footnote>
  <w:footnote w:id="1">
    <w:p w14:paraId="180C7A8A" w14:textId="5D078ECC" w:rsidR="00554E27" w:rsidRPr="00554E27" w:rsidRDefault="00554E27">
      <w:pPr>
        <w:pStyle w:val="FootnoteText"/>
        <w:rPr>
          <w:lang w:val="tr-TR"/>
        </w:rPr>
      </w:pPr>
      <w:r>
        <w:rPr>
          <w:rStyle w:val="FootnoteReference"/>
        </w:rPr>
        <w:footnoteRef/>
      </w:r>
      <w:r>
        <w:t xml:space="preserve"> </w:t>
      </w:r>
      <w:r w:rsidR="00A41C59" w:rsidRPr="00A41C59">
        <w:t>https://europa.eu/european-union/contact/social-networks_en</w:t>
      </w:r>
    </w:p>
  </w:footnote>
  <w:footnote w:id="2">
    <w:p w14:paraId="36DD1559" w14:textId="77777777" w:rsidR="004579E5" w:rsidRPr="007D1662" w:rsidRDefault="004579E5" w:rsidP="004579E5">
      <w:pPr>
        <w:pStyle w:val="FootnoteText"/>
        <w:rPr>
          <w:lang w:val="tr-TR"/>
        </w:rPr>
      </w:pPr>
      <w:r>
        <w:rPr>
          <w:rStyle w:val="FootnoteReference"/>
        </w:rPr>
        <w:footnoteRef/>
      </w:r>
      <w:r>
        <w:t xml:space="preserve"> </w:t>
      </w:r>
      <w:r w:rsidRPr="007D1662">
        <w:t>https://www.gov.uk/government/organisations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10"/>
  </w:num>
  <w:num w:numId="10">
    <w:abstractNumId w:val="4"/>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5B6E"/>
    <w:rsid w:val="000309ED"/>
    <w:rsid w:val="00033892"/>
    <w:rsid w:val="00037F16"/>
    <w:rsid w:val="00037F9A"/>
    <w:rsid w:val="00042904"/>
    <w:rsid w:val="000518BF"/>
    <w:rsid w:val="00051A1B"/>
    <w:rsid w:val="00062E48"/>
    <w:rsid w:val="00067DE1"/>
    <w:rsid w:val="000743EF"/>
    <w:rsid w:val="000756C9"/>
    <w:rsid w:val="00087902"/>
    <w:rsid w:val="00091508"/>
    <w:rsid w:val="00091B45"/>
    <w:rsid w:val="00091E38"/>
    <w:rsid w:val="000A0D2D"/>
    <w:rsid w:val="000A1A9E"/>
    <w:rsid w:val="000A37EE"/>
    <w:rsid w:val="000A6F49"/>
    <w:rsid w:val="000B3E98"/>
    <w:rsid w:val="000C4998"/>
    <w:rsid w:val="000C6BB4"/>
    <w:rsid w:val="000C73E0"/>
    <w:rsid w:val="000D31D6"/>
    <w:rsid w:val="000D4F85"/>
    <w:rsid w:val="000E12A3"/>
    <w:rsid w:val="000E1CB6"/>
    <w:rsid w:val="00101DF3"/>
    <w:rsid w:val="00102BB5"/>
    <w:rsid w:val="0010619A"/>
    <w:rsid w:val="001103D6"/>
    <w:rsid w:val="001316D7"/>
    <w:rsid w:val="00135B72"/>
    <w:rsid w:val="001455D2"/>
    <w:rsid w:val="00150107"/>
    <w:rsid w:val="001608EA"/>
    <w:rsid w:val="00160C9A"/>
    <w:rsid w:val="001637C8"/>
    <w:rsid w:val="001665A9"/>
    <w:rsid w:val="00170723"/>
    <w:rsid w:val="00173980"/>
    <w:rsid w:val="0017781E"/>
    <w:rsid w:val="00193E2A"/>
    <w:rsid w:val="00193FA2"/>
    <w:rsid w:val="0019666F"/>
    <w:rsid w:val="001A0796"/>
    <w:rsid w:val="001A0BC1"/>
    <w:rsid w:val="001B065D"/>
    <w:rsid w:val="001B1E72"/>
    <w:rsid w:val="001B53FB"/>
    <w:rsid w:val="001C20F8"/>
    <w:rsid w:val="001C490E"/>
    <w:rsid w:val="001D7C47"/>
    <w:rsid w:val="001E08A5"/>
    <w:rsid w:val="001E4A3A"/>
    <w:rsid w:val="001F014E"/>
    <w:rsid w:val="001F0999"/>
    <w:rsid w:val="00202163"/>
    <w:rsid w:val="0021323F"/>
    <w:rsid w:val="0021355D"/>
    <w:rsid w:val="00213604"/>
    <w:rsid w:val="002136F4"/>
    <w:rsid w:val="002140DD"/>
    <w:rsid w:val="00214D89"/>
    <w:rsid w:val="00216716"/>
    <w:rsid w:val="00217A3A"/>
    <w:rsid w:val="002212F7"/>
    <w:rsid w:val="002255C6"/>
    <w:rsid w:val="00227A93"/>
    <w:rsid w:val="002354AA"/>
    <w:rsid w:val="002447F1"/>
    <w:rsid w:val="00246675"/>
    <w:rsid w:val="002509E5"/>
    <w:rsid w:val="00252B3F"/>
    <w:rsid w:val="00261290"/>
    <w:rsid w:val="00261C76"/>
    <w:rsid w:val="00261DD5"/>
    <w:rsid w:val="002762DB"/>
    <w:rsid w:val="00290453"/>
    <w:rsid w:val="00290D3B"/>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799"/>
    <w:rsid w:val="0037798B"/>
    <w:rsid w:val="00385FC3"/>
    <w:rsid w:val="0039136B"/>
    <w:rsid w:val="00394B13"/>
    <w:rsid w:val="0039691C"/>
    <w:rsid w:val="003A227C"/>
    <w:rsid w:val="003A248E"/>
    <w:rsid w:val="003A3F22"/>
    <w:rsid w:val="003A753F"/>
    <w:rsid w:val="003B13B1"/>
    <w:rsid w:val="003B2CE1"/>
    <w:rsid w:val="003B4071"/>
    <w:rsid w:val="003C2342"/>
    <w:rsid w:val="003C3069"/>
    <w:rsid w:val="003C5444"/>
    <w:rsid w:val="003C6B0D"/>
    <w:rsid w:val="003C7D64"/>
    <w:rsid w:val="003D5D02"/>
    <w:rsid w:val="003D789D"/>
    <w:rsid w:val="003D7D1A"/>
    <w:rsid w:val="003E2D9C"/>
    <w:rsid w:val="003E4EAB"/>
    <w:rsid w:val="003F19E3"/>
    <w:rsid w:val="003F7897"/>
    <w:rsid w:val="00404FC8"/>
    <w:rsid w:val="00407414"/>
    <w:rsid w:val="004100E3"/>
    <w:rsid w:val="004154F4"/>
    <w:rsid w:val="00421BED"/>
    <w:rsid w:val="00424129"/>
    <w:rsid w:val="0043153D"/>
    <w:rsid w:val="00431C33"/>
    <w:rsid w:val="00440CA8"/>
    <w:rsid w:val="00441C3A"/>
    <w:rsid w:val="00450389"/>
    <w:rsid w:val="004514FD"/>
    <w:rsid w:val="00457108"/>
    <w:rsid w:val="004579E5"/>
    <w:rsid w:val="00460218"/>
    <w:rsid w:val="00464155"/>
    <w:rsid w:val="004709BE"/>
    <w:rsid w:val="00470FA9"/>
    <w:rsid w:val="00481B0D"/>
    <w:rsid w:val="004836FE"/>
    <w:rsid w:val="00486527"/>
    <w:rsid w:val="00490F14"/>
    <w:rsid w:val="0049509D"/>
    <w:rsid w:val="00495CA9"/>
    <w:rsid w:val="004A01A1"/>
    <w:rsid w:val="004A0703"/>
    <w:rsid w:val="004A4DF3"/>
    <w:rsid w:val="004A5839"/>
    <w:rsid w:val="004B5181"/>
    <w:rsid w:val="004C1351"/>
    <w:rsid w:val="004C779B"/>
    <w:rsid w:val="004D1A97"/>
    <w:rsid w:val="004D2367"/>
    <w:rsid w:val="004D52F5"/>
    <w:rsid w:val="004D5E50"/>
    <w:rsid w:val="004D7C9D"/>
    <w:rsid w:val="004E3FC8"/>
    <w:rsid w:val="004F022B"/>
    <w:rsid w:val="004F4B50"/>
    <w:rsid w:val="004F646E"/>
    <w:rsid w:val="005003CE"/>
    <w:rsid w:val="005016A5"/>
    <w:rsid w:val="00501BC2"/>
    <w:rsid w:val="005025AC"/>
    <w:rsid w:val="0050284E"/>
    <w:rsid w:val="00504392"/>
    <w:rsid w:val="005044C1"/>
    <w:rsid w:val="005102DE"/>
    <w:rsid w:val="0052271A"/>
    <w:rsid w:val="00532D33"/>
    <w:rsid w:val="00534561"/>
    <w:rsid w:val="00537EA2"/>
    <w:rsid w:val="0054042E"/>
    <w:rsid w:val="0054065E"/>
    <w:rsid w:val="00542692"/>
    <w:rsid w:val="0055173C"/>
    <w:rsid w:val="00553EFA"/>
    <w:rsid w:val="00554E27"/>
    <w:rsid w:val="00556793"/>
    <w:rsid w:val="005569BE"/>
    <w:rsid w:val="00560269"/>
    <w:rsid w:val="00560C2C"/>
    <w:rsid w:val="00560DAD"/>
    <w:rsid w:val="005638E7"/>
    <w:rsid w:val="00571BBD"/>
    <w:rsid w:val="0057200D"/>
    <w:rsid w:val="005728AF"/>
    <w:rsid w:val="005746CF"/>
    <w:rsid w:val="0057716F"/>
    <w:rsid w:val="0058058B"/>
    <w:rsid w:val="00581385"/>
    <w:rsid w:val="00582374"/>
    <w:rsid w:val="005970EE"/>
    <w:rsid w:val="00597BF3"/>
    <w:rsid w:val="005A437F"/>
    <w:rsid w:val="005A58D8"/>
    <w:rsid w:val="005B31BD"/>
    <w:rsid w:val="005B48BF"/>
    <w:rsid w:val="005B5BD1"/>
    <w:rsid w:val="005B7EC7"/>
    <w:rsid w:val="005C1430"/>
    <w:rsid w:val="005C5854"/>
    <w:rsid w:val="005C7B9B"/>
    <w:rsid w:val="005D43D0"/>
    <w:rsid w:val="005D4A7B"/>
    <w:rsid w:val="005D4DA5"/>
    <w:rsid w:val="005D593A"/>
    <w:rsid w:val="005E3248"/>
    <w:rsid w:val="005E5C2B"/>
    <w:rsid w:val="005F0AB9"/>
    <w:rsid w:val="00601A09"/>
    <w:rsid w:val="00603552"/>
    <w:rsid w:val="0060553C"/>
    <w:rsid w:val="00607330"/>
    <w:rsid w:val="006076B2"/>
    <w:rsid w:val="00610C6E"/>
    <w:rsid w:val="00615977"/>
    <w:rsid w:val="0062037D"/>
    <w:rsid w:val="0062107F"/>
    <w:rsid w:val="0062357B"/>
    <w:rsid w:val="00625CE8"/>
    <w:rsid w:val="00630732"/>
    <w:rsid w:val="00632089"/>
    <w:rsid w:val="00634B26"/>
    <w:rsid w:val="0064153D"/>
    <w:rsid w:val="00645A19"/>
    <w:rsid w:val="0064749A"/>
    <w:rsid w:val="00652588"/>
    <w:rsid w:val="00652FD3"/>
    <w:rsid w:val="006547B2"/>
    <w:rsid w:val="006618F2"/>
    <w:rsid w:val="006628FE"/>
    <w:rsid w:val="00664985"/>
    <w:rsid w:val="0067013A"/>
    <w:rsid w:val="00674C78"/>
    <w:rsid w:val="00675AF9"/>
    <w:rsid w:val="006961DA"/>
    <w:rsid w:val="00697553"/>
    <w:rsid w:val="006A1C16"/>
    <w:rsid w:val="006A3F90"/>
    <w:rsid w:val="006A4731"/>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303C"/>
    <w:rsid w:val="00712247"/>
    <w:rsid w:val="007162A6"/>
    <w:rsid w:val="007201C2"/>
    <w:rsid w:val="00725938"/>
    <w:rsid w:val="007319FF"/>
    <w:rsid w:val="007344BF"/>
    <w:rsid w:val="00744334"/>
    <w:rsid w:val="0075007C"/>
    <w:rsid w:val="00760074"/>
    <w:rsid w:val="0076658E"/>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D0F40"/>
    <w:rsid w:val="007D1662"/>
    <w:rsid w:val="007D1D8F"/>
    <w:rsid w:val="007D3CF4"/>
    <w:rsid w:val="007D4B5E"/>
    <w:rsid w:val="007D7C37"/>
    <w:rsid w:val="007E686B"/>
    <w:rsid w:val="007F21B5"/>
    <w:rsid w:val="007F3308"/>
    <w:rsid w:val="007F4E91"/>
    <w:rsid w:val="00805BA4"/>
    <w:rsid w:val="008073B7"/>
    <w:rsid w:val="008074B6"/>
    <w:rsid w:val="00813020"/>
    <w:rsid w:val="008134E1"/>
    <w:rsid w:val="00813720"/>
    <w:rsid w:val="00814738"/>
    <w:rsid w:val="00820AF0"/>
    <w:rsid w:val="008216DF"/>
    <w:rsid w:val="0082263F"/>
    <w:rsid w:val="008274D3"/>
    <w:rsid w:val="00832CA1"/>
    <w:rsid w:val="00840DDB"/>
    <w:rsid w:val="00846A63"/>
    <w:rsid w:val="00852435"/>
    <w:rsid w:val="00856614"/>
    <w:rsid w:val="00867850"/>
    <w:rsid w:val="00872B05"/>
    <w:rsid w:val="00872D2B"/>
    <w:rsid w:val="008739EB"/>
    <w:rsid w:val="00876536"/>
    <w:rsid w:val="00880B6E"/>
    <w:rsid w:val="0088274B"/>
    <w:rsid w:val="008828BA"/>
    <w:rsid w:val="0088478C"/>
    <w:rsid w:val="00884891"/>
    <w:rsid w:val="008873E6"/>
    <w:rsid w:val="00893C5E"/>
    <w:rsid w:val="008951BA"/>
    <w:rsid w:val="00897810"/>
    <w:rsid w:val="008A253C"/>
    <w:rsid w:val="008A6FB2"/>
    <w:rsid w:val="008B08D0"/>
    <w:rsid w:val="008C4CB2"/>
    <w:rsid w:val="008D6558"/>
    <w:rsid w:val="008D77CF"/>
    <w:rsid w:val="008E0FB7"/>
    <w:rsid w:val="008E5FF2"/>
    <w:rsid w:val="008E6D7B"/>
    <w:rsid w:val="008E75D4"/>
    <w:rsid w:val="008F5906"/>
    <w:rsid w:val="00900B9E"/>
    <w:rsid w:val="00900F1C"/>
    <w:rsid w:val="009018DD"/>
    <w:rsid w:val="009019A4"/>
    <w:rsid w:val="00904B74"/>
    <w:rsid w:val="009067AC"/>
    <w:rsid w:val="00912142"/>
    <w:rsid w:val="00914968"/>
    <w:rsid w:val="00917E73"/>
    <w:rsid w:val="00924167"/>
    <w:rsid w:val="00924BC5"/>
    <w:rsid w:val="00926A1D"/>
    <w:rsid w:val="00927CA5"/>
    <w:rsid w:val="009315E0"/>
    <w:rsid w:val="00936944"/>
    <w:rsid w:val="0093719C"/>
    <w:rsid w:val="00941197"/>
    <w:rsid w:val="00942E8A"/>
    <w:rsid w:val="00954DDD"/>
    <w:rsid w:val="00957ED1"/>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A02D15"/>
    <w:rsid w:val="00A118CE"/>
    <w:rsid w:val="00A233EF"/>
    <w:rsid w:val="00A2429B"/>
    <w:rsid w:val="00A2458C"/>
    <w:rsid w:val="00A247B4"/>
    <w:rsid w:val="00A27792"/>
    <w:rsid w:val="00A30420"/>
    <w:rsid w:val="00A31E7D"/>
    <w:rsid w:val="00A341E4"/>
    <w:rsid w:val="00A37406"/>
    <w:rsid w:val="00A41C59"/>
    <w:rsid w:val="00A47577"/>
    <w:rsid w:val="00A52755"/>
    <w:rsid w:val="00A53CA7"/>
    <w:rsid w:val="00A543D0"/>
    <w:rsid w:val="00A5718E"/>
    <w:rsid w:val="00A71F03"/>
    <w:rsid w:val="00A73EDD"/>
    <w:rsid w:val="00A74E6B"/>
    <w:rsid w:val="00A76940"/>
    <w:rsid w:val="00A76AE3"/>
    <w:rsid w:val="00A8792E"/>
    <w:rsid w:val="00A908E8"/>
    <w:rsid w:val="00A9231D"/>
    <w:rsid w:val="00A94267"/>
    <w:rsid w:val="00AA1213"/>
    <w:rsid w:val="00AA48E1"/>
    <w:rsid w:val="00AB3CAE"/>
    <w:rsid w:val="00AB6DA4"/>
    <w:rsid w:val="00AC0048"/>
    <w:rsid w:val="00AC0900"/>
    <w:rsid w:val="00AC0DC9"/>
    <w:rsid w:val="00AC4774"/>
    <w:rsid w:val="00AC4879"/>
    <w:rsid w:val="00AC7F9F"/>
    <w:rsid w:val="00AD03C4"/>
    <w:rsid w:val="00AD06FC"/>
    <w:rsid w:val="00AD2F11"/>
    <w:rsid w:val="00AE25AE"/>
    <w:rsid w:val="00AF3C2D"/>
    <w:rsid w:val="00AF745E"/>
    <w:rsid w:val="00AF751E"/>
    <w:rsid w:val="00AF7DA2"/>
    <w:rsid w:val="00B02F28"/>
    <w:rsid w:val="00B05161"/>
    <w:rsid w:val="00B12F0D"/>
    <w:rsid w:val="00B1451D"/>
    <w:rsid w:val="00B20A3B"/>
    <w:rsid w:val="00B21829"/>
    <w:rsid w:val="00B21A0C"/>
    <w:rsid w:val="00B2216D"/>
    <w:rsid w:val="00B2374D"/>
    <w:rsid w:val="00B26B2A"/>
    <w:rsid w:val="00B26D46"/>
    <w:rsid w:val="00B30D75"/>
    <w:rsid w:val="00B41D37"/>
    <w:rsid w:val="00B54B30"/>
    <w:rsid w:val="00B5650B"/>
    <w:rsid w:val="00B61A09"/>
    <w:rsid w:val="00B70896"/>
    <w:rsid w:val="00B71BB5"/>
    <w:rsid w:val="00B81CCD"/>
    <w:rsid w:val="00B829A6"/>
    <w:rsid w:val="00B85972"/>
    <w:rsid w:val="00B867EC"/>
    <w:rsid w:val="00B86C5B"/>
    <w:rsid w:val="00B937F8"/>
    <w:rsid w:val="00BA5FAA"/>
    <w:rsid w:val="00BB034F"/>
    <w:rsid w:val="00BB2E46"/>
    <w:rsid w:val="00BB4FF5"/>
    <w:rsid w:val="00BB5A26"/>
    <w:rsid w:val="00BB606A"/>
    <w:rsid w:val="00BC349F"/>
    <w:rsid w:val="00BC54AB"/>
    <w:rsid w:val="00BC6502"/>
    <w:rsid w:val="00BD0147"/>
    <w:rsid w:val="00BD17EE"/>
    <w:rsid w:val="00BD1E7C"/>
    <w:rsid w:val="00BD379F"/>
    <w:rsid w:val="00BD4357"/>
    <w:rsid w:val="00BD5B9F"/>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7DA"/>
    <w:rsid w:val="00C559FE"/>
    <w:rsid w:val="00C567A1"/>
    <w:rsid w:val="00C6346E"/>
    <w:rsid w:val="00C72046"/>
    <w:rsid w:val="00C73765"/>
    <w:rsid w:val="00C742A4"/>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5DB4"/>
    <w:rsid w:val="00CD6A32"/>
    <w:rsid w:val="00CE01FD"/>
    <w:rsid w:val="00CE1033"/>
    <w:rsid w:val="00CE24DD"/>
    <w:rsid w:val="00CE4F88"/>
    <w:rsid w:val="00CE7CE8"/>
    <w:rsid w:val="00CF046B"/>
    <w:rsid w:val="00CF0B1D"/>
    <w:rsid w:val="00CF2D5F"/>
    <w:rsid w:val="00CF6326"/>
    <w:rsid w:val="00D002B6"/>
    <w:rsid w:val="00D0206E"/>
    <w:rsid w:val="00D03067"/>
    <w:rsid w:val="00D03C0D"/>
    <w:rsid w:val="00D054CB"/>
    <w:rsid w:val="00D06036"/>
    <w:rsid w:val="00D114D6"/>
    <w:rsid w:val="00D12FE4"/>
    <w:rsid w:val="00D165AA"/>
    <w:rsid w:val="00D2215B"/>
    <w:rsid w:val="00D254A0"/>
    <w:rsid w:val="00D34072"/>
    <w:rsid w:val="00D374C5"/>
    <w:rsid w:val="00D51654"/>
    <w:rsid w:val="00D70D19"/>
    <w:rsid w:val="00D73C9C"/>
    <w:rsid w:val="00D7534D"/>
    <w:rsid w:val="00D81870"/>
    <w:rsid w:val="00D81BE5"/>
    <w:rsid w:val="00D84E76"/>
    <w:rsid w:val="00D92073"/>
    <w:rsid w:val="00DA23F9"/>
    <w:rsid w:val="00DA3438"/>
    <w:rsid w:val="00DB0C73"/>
    <w:rsid w:val="00DB7BCD"/>
    <w:rsid w:val="00DB7C27"/>
    <w:rsid w:val="00DC007E"/>
    <w:rsid w:val="00DC2184"/>
    <w:rsid w:val="00DC223D"/>
    <w:rsid w:val="00DC4F36"/>
    <w:rsid w:val="00DC59DC"/>
    <w:rsid w:val="00DC5FAB"/>
    <w:rsid w:val="00DD0E02"/>
    <w:rsid w:val="00DD18DA"/>
    <w:rsid w:val="00DD206D"/>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352E9"/>
    <w:rsid w:val="00E37477"/>
    <w:rsid w:val="00E44135"/>
    <w:rsid w:val="00E65354"/>
    <w:rsid w:val="00E665B7"/>
    <w:rsid w:val="00E82204"/>
    <w:rsid w:val="00E83E0A"/>
    <w:rsid w:val="00E85D84"/>
    <w:rsid w:val="00E871A8"/>
    <w:rsid w:val="00E9564E"/>
    <w:rsid w:val="00EA22FB"/>
    <w:rsid w:val="00EB00F7"/>
    <w:rsid w:val="00EC7F81"/>
    <w:rsid w:val="00ED341A"/>
    <w:rsid w:val="00EE1501"/>
    <w:rsid w:val="00EE54E7"/>
    <w:rsid w:val="00EF7097"/>
    <w:rsid w:val="00F02D97"/>
    <w:rsid w:val="00F068BB"/>
    <w:rsid w:val="00F12A8E"/>
    <w:rsid w:val="00F15B93"/>
    <w:rsid w:val="00F263B5"/>
    <w:rsid w:val="00F3179C"/>
    <w:rsid w:val="00F3462D"/>
    <w:rsid w:val="00F37122"/>
    <w:rsid w:val="00F41471"/>
    <w:rsid w:val="00F479CA"/>
    <w:rsid w:val="00F503E4"/>
    <w:rsid w:val="00F516C6"/>
    <w:rsid w:val="00F53338"/>
    <w:rsid w:val="00F56448"/>
    <w:rsid w:val="00F60C5E"/>
    <w:rsid w:val="00F61ADB"/>
    <w:rsid w:val="00F61FFB"/>
    <w:rsid w:val="00F649F3"/>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5DDD"/>
    <w:rsid w:val="00FF0698"/>
    <w:rsid w:val="00FF26F1"/>
    <w:rsid w:val="00FF339A"/>
    <w:rsid w:val="00FF40FC"/>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christian-rauh.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hyperlink" Target="https://github.com/ChRauh/PastTwitt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25682</Words>
  <Characters>136115</Characters>
  <Application>Microsoft Office Word</Application>
  <DocSecurity>0</DocSecurity>
  <Lines>1134</Lines>
  <Paragraphs>322</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73</cp:revision>
  <cp:lastPrinted>2021-06-29T09:26:00Z</cp:lastPrinted>
  <dcterms:created xsi:type="dcterms:W3CDTF">2021-07-06T15:44:00Z</dcterms:created>
  <dcterms:modified xsi:type="dcterms:W3CDTF">2021-07-08T13:43:00Z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id="3X12INVm"/&gt;&lt;style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