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01A7F" w14:textId="33EC5EE2" w:rsidR="00BC272F" w:rsidRDefault="008D4F34">
      <w:pPr>
        <w:rPr>
          <w:noProof/>
        </w:rPr>
      </w:pPr>
      <w:r>
        <w:rPr>
          <w:noProof/>
        </w:rPr>
        <w:drawing>
          <wp:inline distT="0" distB="0" distL="0" distR="0" wp14:anchorId="0E00DE05" wp14:editId="3D964ED2">
            <wp:extent cx="5731510" cy="42151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jectory_analysis.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215130"/>
                    </a:xfrm>
                    <a:prstGeom prst="rect">
                      <a:avLst/>
                    </a:prstGeom>
                  </pic:spPr>
                </pic:pic>
              </a:graphicData>
            </a:graphic>
          </wp:inline>
        </w:drawing>
      </w:r>
    </w:p>
    <w:p w14:paraId="154BEB9B" w14:textId="1C9A5720" w:rsidR="00615393" w:rsidRPr="00615393" w:rsidRDefault="00615393" w:rsidP="00615393"/>
    <w:p w14:paraId="445E8C45" w14:textId="3118DF27" w:rsidR="00560BCE" w:rsidRDefault="00560BCE" w:rsidP="00560BCE">
      <w:pPr>
        <w:jc w:val="both"/>
        <w:rPr>
          <w:lang w:val="en-US"/>
        </w:rPr>
      </w:pPr>
      <w:r>
        <w:rPr>
          <w:lang w:val="en-US"/>
        </w:rPr>
        <w:t xml:space="preserve">What about the future support for Turkey’s bid to the EU membership? To answer the question, we zoomed in on the support group in the parliament and </w:t>
      </w:r>
      <w:r w:rsidRPr="00615393">
        <w:rPr>
          <w:lang w:val="en-US"/>
        </w:rPr>
        <w:t>modelled the number of supportive statements by MPs as a function of time using group-based trajectory analysis</w:t>
      </w:r>
      <w:r>
        <w:rPr>
          <w:lang w:val="en-US"/>
        </w:rPr>
        <w:fldChar w:fldCharType="begin"/>
      </w:r>
      <w:r>
        <w:rPr>
          <w:lang w:val="en-US"/>
        </w:rPr>
        <w:instrText xml:space="preserve"> ADDIN ZOTERO_ITEM CSL_CITATION {"citationID":"9t8rFfMU","properties":{"formattedCitation":"(Nagin, 1999)","plainCitation":"(Nagin, 1999)","noteIndex":0},"citationItems":[{"id":1541,"uris":["http://zotero.org/users/5392384/items/WQIL2Q8N"],"uri":["http://zotero.org/users/5392384/items/WQIL2Q8N"],"itemData":{"id":1541,"type":"article-journal","title":"Analyzing developmental trajectories: A semiparametric, group-based approach.","container-title":"Psychological Methods","page":"139","volume":"4","issue":"2","source":"psycnet.apa.org","DOI":"10.1037/1082-989X.4.2.139","ISSN":"1939-1463","shortTitle":"Analyzing developmental trajectories","author":[{"family":"Nagin","given":"Daniel S."}],"issued":{"date-parts":[["1999"]]}}}],"schema":"https://github.com/citation-style-language/schema/raw/master/csl-citation.json"} </w:instrText>
      </w:r>
      <w:r>
        <w:rPr>
          <w:lang w:val="en-US"/>
        </w:rPr>
        <w:fldChar w:fldCharType="separate"/>
      </w:r>
      <w:r>
        <w:rPr>
          <w:lang w:val="en-US"/>
        </w:rPr>
        <w:t xml:space="preserve"> </w:t>
      </w:r>
      <w:r w:rsidRPr="00560BCE">
        <w:rPr>
          <w:rFonts w:ascii="Calibri" w:hAnsi="Calibri" w:cs="Calibri"/>
        </w:rPr>
        <w:t>(Nagin, 1999)</w:t>
      </w:r>
      <w:r>
        <w:rPr>
          <w:lang w:val="en-US"/>
        </w:rPr>
        <w:fldChar w:fldCharType="end"/>
      </w:r>
      <w:r w:rsidRPr="00615393">
        <w:rPr>
          <w:lang w:val="en-US"/>
        </w:rPr>
        <w:t>.</w:t>
      </w:r>
      <w:r w:rsidRPr="006932B8">
        <w:rPr>
          <w:lang w:val="en-US"/>
        </w:rPr>
        <w:t xml:space="preserve"> </w:t>
      </w:r>
      <w:r>
        <w:rPr>
          <w:lang w:val="en-US"/>
        </w:rPr>
        <w:t xml:space="preserve">The </w:t>
      </w:r>
      <w:r w:rsidR="002765C6">
        <w:rPr>
          <w:lang w:val="en-US"/>
        </w:rPr>
        <w:t>group-based</w:t>
      </w:r>
      <w:r>
        <w:rPr>
          <w:lang w:val="en-US"/>
        </w:rPr>
        <w:t xml:space="preserve"> trajectory model aims to identify distinctive groupings </w:t>
      </w:r>
      <w:r w:rsidR="002765C6">
        <w:rPr>
          <w:lang w:val="en-US"/>
        </w:rPr>
        <w:t>of individual level trajectories within the population</w:t>
      </w:r>
      <w:r w:rsidR="00C76898">
        <w:rPr>
          <w:lang w:val="en-US"/>
        </w:rPr>
        <w:t xml:space="preserve"> using zero-inflated Poisson model</w:t>
      </w:r>
      <w:r w:rsidR="002765C6">
        <w:rPr>
          <w:lang w:val="en-US"/>
        </w:rPr>
        <w:t xml:space="preserve">. </w:t>
      </w:r>
      <w:r w:rsidRPr="00615393">
        <w:rPr>
          <w:lang w:val="en-US"/>
        </w:rPr>
        <w:t>This allows us to d</w:t>
      </w:r>
      <w:r w:rsidR="00C76898">
        <w:rPr>
          <w:lang w:val="en-US"/>
        </w:rPr>
        <w:t>isaggregate</w:t>
      </w:r>
      <w:r w:rsidRPr="00615393">
        <w:rPr>
          <w:lang w:val="en-US"/>
        </w:rPr>
        <w:t xml:space="preserve"> the support camp and look at the constituting group</w:t>
      </w:r>
      <w:r w:rsidR="002765C6">
        <w:rPr>
          <w:lang w:val="en-US"/>
        </w:rPr>
        <w:t>s</w:t>
      </w:r>
      <w:r w:rsidRPr="00615393">
        <w:rPr>
          <w:lang w:val="en-US"/>
        </w:rPr>
        <w:t xml:space="preserve"> in detail.</w:t>
      </w:r>
      <w:r w:rsidR="002765C6">
        <w:rPr>
          <w:lang w:val="en-US"/>
        </w:rPr>
        <w:t xml:space="preserve"> There are two key parameters to specify in the group-based trajectory </w:t>
      </w:r>
      <w:r w:rsidR="00C76898">
        <w:rPr>
          <w:lang w:val="en-US"/>
        </w:rPr>
        <w:t>analysis</w:t>
      </w:r>
      <w:r w:rsidR="002765C6">
        <w:rPr>
          <w:lang w:val="en-US"/>
        </w:rPr>
        <w:t>:</w:t>
      </w:r>
      <w:r w:rsidR="00B849A5">
        <w:rPr>
          <w:lang w:val="en-US"/>
        </w:rPr>
        <w:t xml:space="preserve"> the polynomial order of the group trajectories</w:t>
      </w:r>
      <w:r w:rsidR="002765C6">
        <w:rPr>
          <w:lang w:val="en-US"/>
        </w:rPr>
        <w:t xml:space="preserve"> and</w:t>
      </w:r>
      <w:r w:rsidR="00B849A5">
        <w:rPr>
          <w:lang w:val="en-US"/>
        </w:rPr>
        <w:t xml:space="preserve"> the number of groups</w:t>
      </w:r>
      <w:r w:rsidR="002765C6">
        <w:rPr>
          <w:lang w:val="en-US"/>
        </w:rPr>
        <w:t xml:space="preserve">. </w:t>
      </w:r>
      <w:r w:rsidR="00B849A5">
        <w:rPr>
          <w:lang w:val="en-US"/>
        </w:rPr>
        <w:t>As noted by Nagin (1999), specifying the polynomial order of group trajectories is a decision based on the expertise on the subject.</w:t>
      </w:r>
      <w:r w:rsidR="00C76898">
        <w:rPr>
          <w:lang w:val="en-US"/>
        </w:rPr>
        <w:t xml:space="preserve"> Higher order</w:t>
      </w:r>
      <w:r w:rsidR="00B849A5">
        <w:rPr>
          <w:lang w:val="en-US"/>
        </w:rPr>
        <w:t xml:space="preserve"> polynomial</w:t>
      </w:r>
      <w:r w:rsidR="00C76898">
        <w:rPr>
          <w:lang w:val="en-US"/>
        </w:rPr>
        <w:t>s</w:t>
      </w:r>
      <w:r w:rsidR="00B849A5">
        <w:rPr>
          <w:lang w:val="en-US"/>
        </w:rPr>
        <w:t xml:space="preserve"> allow the trajectory line to have one more inflection point (i.e. turning point). Considering how contentious the issue of membership and how susceptible it is to the contextual factors; higher polynomial orders are</w:t>
      </w:r>
      <w:r w:rsidR="00C76898">
        <w:rPr>
          <w:lang w:val="en-US"/>
        </w:rPr>
        <w:t xml:space="preserve"> more</w:t>
      </w:r>
      <w:r w:rsidR="00B849A5">
        <w:rPr>
          <w:lang w:val="en-US"/>
        </w:rPr>
        <w:t xml:space="preserve"> preferable in our case. To be able to capture the fine changes in the trajectories, we choose the cubic polynomials for group trajectories. </w:t>
      </w:r>
      <w:r w:rsidR="00C76898">
        <w:rPr>
          <w:lang w:val="en-US"/>
        </w:rPr>
        <w:t>Conventional method of selecting the proper number of groups is to iteratively increase the number of groups and choose the model that fits data the best using Bayesian Information Criteria</w:t>
      </w:r>
      <w:r w:rsidR="00C76898">
        <w:rPr>
          <w:lang w:val="en-US"/>
        </w:rPr>
        <w:fldChar w:fldCharType="begin"/>
      </w:r>
      <w:r w:rsidR="00C76898">
        <w:rPr>
          <w:lang w:val="en-US"/>
        </w:rPr>
        <w:instrText xml:space="preserve"> ADDIN ZOTERO_ITEM CSL_CITATION {"citationID":"QVp7Q3HT","properties":{"formattedCitation":"(Nagin &amp; Tremblay, 2005; Niyonkuru et al., 2013; Sweeten, 2014; Wheeler, Worden, &amp; McLean, 2016)","plainCitation":"(Nagin &amp; Tremblay, 2005; Niyonkuru et al., 2013; Sweeten, 2014; Wheeler, Worden, &amp; McLean, 2016)","noteIndex":0},"citationItems":[{"id":1526,"uris":["http://zotero.org/users/5392384/items/SIY38ABI"],"uri":["http://zotero.org/users/5392384/items/SIY38ABI"],"itemData":{"id":1526,"type":"article-journal","title":"What Has Been Learned from Group-Based Trajectory Modeling? Examples from Physical Aggression and Other Problem Behaviors","container-title":"The ANNALS of the American Academy of Political and Social Science","page":"82-117","volume":"602","issue":"1","source":"SAGE Journals","abstract":"The focus of this article is group-based trajectory modeling. Its purpose is threefold. The first is to clarify the proper statistical interpretation of a trajectory group. The second is to summarize some key findings on the developmental course of aggression and other problem behaviors that have emerged from the application of group-based trajectory models and that in the authors' judgment are important to the fields of developmental criminology and developmental psychopathology. The third is to lay out some guidelines on the types of problems for which use of group-based trajectory modeling may be particularly productive.","DOI":"10.1177/0002716205280565","ISSN":"0002-7162","shortTitle":"What Has Been Learned from Group-Based Trajectory Modeling?","journalAbbreviation":"The ANNALS of the American Academy of Political and Social Science","language":"en","author":[{"family":"Nagin","given":"Daniel S."},{"family":"Tremblay","given":"Richard E."}],"issued":{"date-parts":[["2005",11,1]]}}},{"id":1721,"uris":["http://zotero.org/users/5392384/items/IJ7SDT9N"],"uri":["http://zotero.org/users/5392384/items/IJ7SDT9N"],"itemData":{"id":1721,"type":"article-journal","title":"Group-Based Trajectory Analysis Applications for Prognostic Biomarker Model Development in Severe TBI: A Practical Example","container-title":"Journal of Neurotrauma","page":"938-945","volume":"30","issue":"11","source":"Crossref","abstract":"Over the last decade, biomarker research has identiﬁed potential biomarkers for the diagnosis, prognosis, and management of traumatic brain injury (TBI). Several cerebrospinal ﬂuid (CSF) and serum biomarkers have shown promise in predicting long-term outcome after severe TBI. Despite this increased focus on identifying biomarkers for outcome prognostication after a severe TBI, several challenges still exist in effectively modeling the signiﬁcant heterogeneity observed in TBIrelated pathology, as well as the biomarker-outcome relationships. Biomarker data collected over time are usually summarized into single-point estimates (e.g., average or peak biomarker levels), which are, in turn, used to examine the relationships between biomarker levels and outcomes. Further, many biomarker studies to date have focused on the prediction power of biomarkers without controlling for potential clinical and demographic confounders that have been previously shown to affect long-term outcome. In this article, we demonstrate the application of a practical approach to delineate and describe distinct subpopulations having similar longitudinal biomarker proﬁles and to model the relationships between these biomarker proﬁles and outcomes while taking into account potential confounding factors. As an example, we demonstrate a group-based modeling technique to identify temporal S100 calcium-binding protein B (S100b) proﬁles, measured from CSF over the ﬁrst week post-injury, in a sample of adult subjects with TBI, and we use multivariate logistic regression to show that the prediction power of S100b biomarker proﬁles can be superior to the prediction power of single-point estimates.","DOI":"10.1089/neu.2012.2578","ISSN":"0897-7151, 1557-9042","shortTitle":"Group-Based Trajectory Analysis Applications for Prognostic Biomarker Model Development in Severe TBI","language":"en","author":[{"family":"Niyonkuru","given":"Christian"},{"family":"Wagner","given":"Amy K."},{"family":"Ozawa","given":"Haishin"},{"family":"Amin","given":"Krutika"},{"family":"Goyal","given":"Akash"},{"family":"Fabio","given":"Anthony"}],"issued":{"date-parts":[["2013",6]]}}},{"id":1518,"uris":["http://zotero.org/users/5392384/items/XR7ZWHUD"],"uri":["http://zotero.org/users/5392384/items/XR7ZWHUD"],"itemData":{"id":1518,"type":"chapter","title":"Group-Based Trajectory Models","container-title":"Encyclopedia of Criminology and Criminal Justice","publisher":"Springer New York","publisher-place":"New York, NY","page":"1991-2003","source":"Springer Link","event-place":"New York, NY","URL":"https://doi.org/10.1007/978-1-4614-5690-2_479","ISBN":"978-1-4614-5690-2","note":"DOI: 10.1007/978-1-4614-5690-2_479","language":"en","author":[{"family":"Sweeten","given":"Gary"}],"editor":[{"family":"Bruinsma","given":"Gerben"},{"family":"Weisburd","given":"David"}],"issued":{"date-parts":[["2014"]]},"accessed":{"date-parts":[["2019",9,27]]}}},{"id":1533,"uris":["http://zotero.org/users/5392384/items/FXQDS7AX"],"uri":["http://zotero.org/users/5392384/items/FXQDS7AX"],"itemData":{"id":1533,"type":"article-journal","title":"Replicating Group-Based Trajectory Models of Crime at Micro-Places in Albany, NY","container-title":"Journal of Quantitative Criminology","page":"589-612","volume":"32","issue":"4","source":"Springer Link","abstract":"ObjectivesReplicate two previous studies of temporal crime trends at the street block level. We replicate the general approach of group-based trajectory modelling of crimes at micro-places originally taken by Weisburd et al. (Criminology 42(2):283–322, 2004) and replicated by Curman et al. (J Quant Criminol 31(1):127–147, 2014). We examine patterns in a city of a different character (Albany, NY) than those previously examined (Seattle and Vancouver) and so contribute to the generalizability of previous findings.MethodsCrimes between 2000 and 2013 were used to identify different trajectory groups at street segments and intersections. Zero-inflated Poisson regression models are used to identify the trajectories. Pin maps, Ripley’s K and neighbor transition matrices are used to show the spatial patterning of the trajectory groups.ResultsThe trajectory solution with eight classes is selected based on several model selection criteria. The trajectory of each those groups follow the overall citywide decline, and are only separated by the mean level of crime. Spatial analysis shows that higher crime trajectory groups are more likely to be nearby one another, potentially suggesting a diffusion process.ConclusionsOur work adds additional support to that of others who have found tight coupling of crime at micro-places. We find that the clustering of trajectories identified a set of street units that disproportionately contributed to the total level of crime citywide in Albany, consistent with previous research. However, the temporal trends over time in Albany differed from those exhibited in previous work in Seattle but were consistent with patterns in Vancouver.","DOI":"10.1007/s10940-015-9268-3","ISSN":"1573-7799","journalAbbreviation":"J Quant Criminol","language":"en","author":[{"family":"Wheeler","given":"Andrew P."},{"family":"Worden","given":"Robert E."},{"family":"McLean","given":"Sarah J."}],"issued":{"date-parts":[["2016",12,1]]}}}],"schema":"https://github.com/citation-style-language/schema/raw/master/csl-citation.json"} </w:instrText>
      </w:r>
      <w:r w:rsidR="00C76898">
        <w:rPr>
          <w:lang w:val="en-US"/>
        </w:rPr>
        <w:fldChar w:fldCharType="separate"/>
      </w:r>
      <w:r w:rsidR="00C76898" w:rsidRPr="00C76898">
        <w:rPr>
          <w:rFonts w:ascii="Calibri" w:hAnsi="Calibri" w:cs="Calibri"/>
        </w:rPr>
        <w:t>(Nagin &amp; Tremblay, 2005; Niyonkuru et al., 2013; Sweeten, 2014; Wheeler, Worden, &amp; McLean, 2016)</w:t>
      </w:r>
      <w:r w:rsidR="00C76898">
        <w:rPr>
          <w:lang w:val="en-US"/>
        </w:rPr>
        <w:fldChar w:fldCharType="end"/>
      </w:r>
      <w:r w:rsidR="00C76898">
        <w:rPr>
          <w:lang w:val="en-US"/>
        </w:rPr>
        <w:t>. However,</w:t>
      </w:r>
      <w:r w:rsidR="00B51B2E">
        <w:rPr>
          <w:lang w:val="en-US"/>
        </w:rPr>
        <w:t xml:space="preserve"> Nielsen and colleagues (2014) have recently demonstrated that BIC often provides inadequate information for model selection in group-based trajectory analysis. Instead, they recommend using cross validation errors generated by using leave-one-out cross validation method and choosing the number of groups that minimizes the error </w:t>
      </w:r>
      <w:r w:rsidR="00C76898">
        <w:rPr>
          <w:lang w:val="en-US"/>
        </w:rPr>
        <w:t xml:space="preserve"> </w:t>
      </w:r>
      <w:r w:rsidR="003B56D7">
        <w:rPr>
          <w:lang w:val="en-US"/>
        </w:rPr>
        <w:fldChar w:fldCharType="begin"/>
      </w:r>
      <w:r w:rsidR="00B51B2E">
        <w:rPr>
          <w:lang w:val="en-US"/>
        </w:rPr>
        <w:instrText xml:space="preserve"> ADDIN ZOTERO_ITEM CSL_CITATION {"citationID":"LEQMzGrv","properties":{"formattedCitation":"(Nielsen et al., 2014; Wheeler et al., 2016)","plainCitation":"(Nielsen et al., 2014; Wheeler et al., 2016)","noteIndex":0},"citationItems":[{"id":1538,"uris":["http://zotero.org/users/5392384/items/AR832NIC"],"uri":["http://zotero.org/users/5392384/items/AR832NIC"],"itemData":{"id":1538,"type":"article-journal","title":"Group-based Criminal Trajectory Analysis Using Cross-validation Criteria","container-title":"Communications in Statistics - Theory and Methods","page":"4337-4356","volume":"43","issue":"20","source":"Crossref","abstract":"In this paper, we discuss the challenge of determining the number of classes in a family of ﬁnite mixture models with the intent of improving the speciﬁcation of latent class models for criminal trajectories. We argue that the traditional method of using either the Proc Traj or Mplus package to compute and maximize the Bayesian Information Criterion (BIC) is problematic: Proc Traj and Mplus do not always compute the MLE (and hence the BIC) accurately, and furthermore BIC on its own does not always indicate a reasonable-seeming number of groups even when computed correctly. As an alternative, we propose the new freely available software package, crimCV, written in the R-programming language, and the methodology of cross-validation error (CVE) to determine the number of classes in a fair and reasonable way. In the present paper, we apply the new methodology to two samples of N = 378 and N = 386 male juvenile oﬀenders whose criminal behavior was tracked from late childhood/early adolescence into adulthood. We show how using CVE, as implemented with crimCV, can provide valuable insight for determining the number of latent classes in these cases. These results suggest that cross-validation may represent a promising alternative to AIC or BIC for determining an optimal number of classes in ﬁnite mixture models, and in particular for setting the number of latent classes in group-based trajectory analysis.","DOI":"10.1080/03610926.2012.719986","ISSN":"0361-0926, 1532-415X","language":"en","author":[{"family":"Nielsen","given":"J. D."},{"family":"Rosenthal","given":"J. S."},{"family":"Sun","given":"Y."},{"family":"Day","given":"D. M."},{"family":"Bevc","given":"I."},{"family":"Duchesne","given":"T."}],"issued":{"date-parts":[["2014",10,18]]}}},{"id":1533,"uris":["http://zotero.org/users/5392384/items/FXQDS7AX"],"uri":["http://zotero.org/users/5392384/items/FXQDS7AX"],"itemData":{"id":1533,"type":"article-journal","title":"Replicating Group-Based Trajectory Models of Crime at Micro-Places in Albany, NY","container-title":"Journal of Quantitative Criminology","page":"589-612","volume":"32","issue":"4","source":"Springer Link","abstract":"ObjectivesReplicate two previous studies of temporal crime trends at the street block level. We replicate the general approach of group-based trajectory modelling of crimes at micro-places originally taken by Weisburd et al. (Criminology 42(2):283–322, 2004) and replicated by Curman et al. (J Quant Criminol 31(1):127–147, 2014). We examine patterns in a city of a different character (Albany, NY) than those previously examined (Seattle and Vancouver) and so contribute to the generalizability of previous findings.MethodsCrimes between 2000 and 2013 were used to identify different trajectory groups at street segments and intersections. Zero-inflated Poisson regression models are used to identify the trajectories. Pin maps, Ripley’s K and neighbor transition matrices are used to show the spatial patterning of the trajectory groups.ResultsThe trajectory solution with eight classes is selected based on several model selection criteria. The trajectory of each those groups follow the overall citywide decline, and are only separated by the mean level of crime. Spatial analysis shows that higher crime trajectory groups are more likely to be nearby one another, potentially suggesting a diffusion process.ConclusionsOur work adds additional support to that of others who have found tight coupling of crime at micro-places. We find that the clustering of trajectories identified a set of street units that disproportionately contributed to the total level of crime citywide in Albany, consistent with previous research. However, the temporal trends over time in Albany differed from those exhibited in previous work in Seattle but were consistent with patterns in Vancouver.","DOI":"10.1007/s10940-015-9268-3","ISSN":"1573-7799","journalAbbreviation":"J Quant Criminol","language":"en","author":[{"family":"Wheeler","given":"Andrew P."},{"family":"Worden","given":"Robert E."},{"family":"McLean","given":"Sarah J."}],"issued":{"date-parts":[["2016",12,1]]}}}],"schema":"https://github.com/citation-style-language/schema/raw/master/csl-citation.json"} </w:instrText>
      </w:r>
      <w:r w:rsidR="003B56D7">
        <w:rPr>
          <w:lang w:val="en-US"/>
        </w:rPr>
        <w:fldChar w:fldCharType="separate"/>
      </w:r>
      <w:r w:rsidR="00B51B2E" w:rsidRPr="00B51B2E">
        <w:rPr>
          <w:rFonts w:ascii="Calibri" w:hAnsi="Calibri" w:cs="Calibri"/>
        </w:rPr>
        <w:t>(Nielsen et al., 2014; Wheeler et al., 2016)</w:t>
      </w:r>
      <w:r w:rsidR="003B56D7">
        <w:rPr>
          <w:lang w:val="en-US"/>
        </w:rPr>
        <w:fldChar w:fldCharType="end"/>
      </w:r>
      <w:r w:rsidR="00B51B2E">
        <w:rPr>
          <w:lang w:val="en-US"/>
        </w:rPr>
        <w:t xml:space="preserve">. Based on the literature, the model that fits our data the best has the cubic polynomial order and 3 groups. </w:t>
      </w:r>
    </w:p>
    <w:p w14:paraId="2235A653" w14:textId="77777777" w:rsidR="00BD3638" w:rsidRDefault="00BD3638" w:rsidP="00560BCE">
      <w:pPr>
        <w:jc w:val="both"/>
        <w:rPr>
          <w:lang w:val="en-US"/>
        </w:rPr>
      </w:pPr>
    </w:p>
    <w:p w14:paraId="10DEB9ED" w14:textId="4F82D5D9" w:rsidR="00B51B2E" w:rsidRDefault="00B51B2E" w:rsidP="00560BCE">
      <w:pPr>
        <w:jc w:val="both"/>
        <w:rPr>
          <w:lang w:val="en-US"/>
        </w:rPr>
      </w:pPr>
      <w:r>
        <w:rPr>
          <w:lang w:val="en-US"/>
        </w:rPr>
        <w:lastRenderedPageBreak/>
        <w:tab/>
        <w:t>Results of the analysis shows that the support camp in the Turkish parliament is three distinct groups. The group 1 constitutes about 10% of the support camp while group 2 constitutes about 55% of the support camp and the group 3 is about 35% of the support camp. Three distinctive support patterns become obvious when we look at the longitudinal changes in average number of positive statements. Largest member of the support camp</w:t>
      </w:r>
      <w:r w:rsidR="00C964F4">
        <w:rPr>
          <w:lang w:val="en-US"/>
        </w:rPr>
        <w:t xml:space="preserve"> (group 2)</w:t>
      </w:r>
      <w:r>
        <w:rPr>
          <w:lang w:val="en-US"/>
        </w:rPr>
        <w:t xml:space="preserve"> show</w:t>
      </w:r>
      <w:r w:rsidR="00C964F4">
        <w:rPr>
          <w:lang w:val="en-US"/>
        </w:rPr>
        <w:t>s</w:t>
      </w:r>
      <w:r>
        <w:rPr>
          <w:lang w:val="en-US"/>
        </w:rPr>
        <w:t xml:space="preserve"> only an episodic support </w:t>
      </w:r>
      <w:r w:rsidR="00C964F4">
        <w:rPr>
          <w:lang w:val="en-US"/>
        </w:rPr>
        <w:t xml:space="preserve">for the membership. Their support reaches a peak during the enthusiasm phase but rapidly declines and drops down to 0 towards the second half of the period. Group 3, on the other hand, shows a more consistent behavior compared to other two groups. Their support steadily </w:t>
      </w:r>
      <w:r w:rsidR="007D1640">
        <w:rPr>
          <w:lang w:val="en-US"/>
        </w:rPr>
        <w:t>increases</w:t>
      </w:r>
      <w:r w:rsidR="00C964F4">
        <w:rPr>
          <w:lang w:val="en-US"/>
        </w:rPr>
        <w:t xml:space="preserve"> until the latter half of the enthusiasm </w:t>
      </w:r>
      <w:r w:rsidR="007D1640">
        <w:rPr>
          <w:lang w:val="en-US"/>
        </w:rPr>
        <w:t>period,</w:t>
      </w:r>
      <w:r w:rsidR="00C964F4">
        <w:rPr>
          <w:lang w:val="en-US"/>
        </w:rPr>
        <w:t xml:space="preserve"> but their support slowly falters reaching to zero by the end of period we analyzed.</w:t>
      </w:r>
      <w:r w:rsidR="007D1640">
        <w:rPr>
          <w:lang w:val="en-US"/>
        </w:rPr>
        <w:t xml:space="preserve"> Group 1, on the other hand, seems to hold a rather stable position of no support until the mid-accession fatigue period but shows a stark increase in the latter half of accession fatigue.</w:t>
      </w:r>
    </w:p>
    <w:p w14:paraId="6952B3AE" w14:textId="344817B8" w:rsidR="007D1640" w:rsidRDefault="007D1640" w:rsidP="00560BCE">
      <w:pPr>
        <w:jc w:val="both"/>
        <w:rPr>
          <w:lang w:val="en-US"/>
        </w:rPr>
      </w:pPr>
      <w:r>
        <w:rPr>
          <w:lang w:val="en-US"/>
        </w:rPr>
        <w:tab/>
      </w:r>
      <w:r w:rsidR="00AA4729">
        <w:rPr>
          <w:lang w:val="en-US"/>
        </w:rPr>
        <w:t>One possible explanation</w:t>
      </w:r>
      <w:r>
        <w:rPr>
          <w:lang w:val="en-US"/>
        </w:rPr>
        <w:t xml:space="preserve"> for the behavior patterns of these groups</w:t>
      </w:r>
      <w:r w:rsidR="00AA4729">
        <w:rPr>
          <w:lang w:val="en-US"/>
        </w:rPr>
        <w:t xml:space="preserve"> lies in the justification of the position</w:t>
      </w:r>
      <w:r>
        <w:rPr>
          <w:lang w:val="en-US"/>
        </w:rPr>
        <w:t>.</w:t>
      </w:r>
      <w:r w:rsidR="007D764D">
        <w:rPr>
          <w:lang w:val="en-US"/>
        </w:rPr>
        <w:t xml:space="preserve"> </w:t>
      </w:r>
      <w:r w:rsidR="008D4F34">
        <w:rPr>
          <w:lang w:val="en-US"/>
        </w:rPr>
        <w:t>Simple crosstabulation of frame use by groups shows that support of MPs in group 2 and group 3 are mostly motivated by their utilitarian reasoning (respectively 39% and 41%) while the group 1 show support based on both reasoning. In other words, MPs’ support for the EU membership in group 2 and 3 is a calculation of tangible costs and benefits of the membership. Unlike</w:t>
      </w:r>
      <w:r w:rsidR="00BD3638">
        <w:rPr>
          <w:lang w:val="en-US"/>
        </w:rPr>
        <w:t xml:space="preserve"> the MPs in</w:t>
      </w:r>
      <w:r w:rsidR="008D4F34">
        <w:rPr>
          <w:lang w:val="en-US"/>
        </w:rPr>
        <w:t xml:space="preserve"> two other groups,</w:t>
      </w:r>
      <w:r w:rsidR="00BD3638">
        <w:rPr>
          <w:lang w:val="en-US"/>
        </w:rPr>
        <w:t xml:space="preserve"> the MPs’ support for the EU membership in group 1 seems to go beyond the utilitarian motivation since 47% of them seem to justify their support with a combination of both normative and utilitarian arguments.</w:t>
      </w:r>
    </w:p>
    <w:p w14:paraId="180A3935" w14:textId="307321A8" w:rsidR="00AA4729" w:rsidRDefault="00AA4729" w:rsidP="00560BCE">
      <w:pPr>
        <w:jc w:val="both"/>
        <w:rPr>
          <w:lang w:val="en-US"/>
        </w:rPr>
      </w:pPr>
      <w:r>
        <w:rPr>
          <w:lang w:val="en-US"/>
        </w:rPr>
        <w:tab/>
        <w:t xml:space="preserve">The results from the analysis indicates that future support for Turkey’s membership to EU in Turkish parliament is highly contingent on whether the membership is perceived to be inline with Turkey’s interest or not. Both evidenced by our longitudinal analysis and group-based trajectory analysis, majority of the parliamentarians have already shown a waning enthusiasm towards the membership. In addition, the </w:t>
      </w:r>
      <w:r w:rsidR="004218E9">
        <w:rPr>
          <w:lang w:val="en-US"/>
        </w:rPr>
        <w:t>group-based</w:t>
      </w:r>
      <w:r>
        <w:rPr>
          <w:lang w:val="en-US"/>
        </w:rPr>
        <w:t xml:space="preserve"> trajectory analysis has shown that those who supported the Turkish membership to the EU were doing so mostly because of the utilitarian benefits of the EU membership.</w:t>
      </w:r>
      <w:r w:rsidR="004218E9">
        <w:rPr>
          <w:lang w:val="en-US"/>
        </w:rPr>
        <w:t xml:space="preserve"> [</w:t>
      </w:r>
      <w:r w:rsidR="004218E9" w:rsidRPr="004218E9">
        <w:rPr>
          <w:b/>
          <w:lang w:val="en-US"/>
        </w:rPr>
        <w:t>Should we add some differentiated integration/ EU integration theory here? Maybe some citations from Frank</w:t>
      </w:r>
      <w:r w:rsidR="004218E9">
        <w:rPr>
          <w:lang w:val="en-US"/>
        </w:rPr>
        <w:t>]</w:t>
      </w:r>
      <w:r>
        <w:rPr>
          <w:lang w:val="en-US"/>
        </w:rPr>
        <w:t xml:space="preserve"> This is particularly important in conjuncture with increasingly </w:t>
      </w:r>
      <w:r w:rsidR="004218E9">
        <w:rPr>
          <w:lang w:val="en-US"/>
        </w:rPr>
        <w:t>authoritarian regime, Turkey’s security policy in the Middle East, and refugee crisis. There seems to be a little evidence that the support for membership will increase so long as Turkish MPs perceive the membership to the EU contradictory to Turkey’s other interests.</w:t>
      </w:r>
    </w:p>
    <w:p w14:paraId="669DEFB6" w14:textId="7C0C4130" w:rsidR="002566D2" w:rsidRDefault="00AA4729" w:rsidP="00C4031C">
      <w:pPr>
        <w:jc w:val="both"/>
        <w:rPr>
          <w:b/>
          <w:lang w:val="en-US"/>
        </w:rPr>
      </w:pPr>
      <w:r>
        <w:rPr>
          <w:b/>
          <w:lang w:val="en-US"/>
        </w:rPr>
        <w:t>Table X: Frame use by group:</w:t>
      </w:r>
    </w:p>
    <w:p w14:paraId="5042AA7C" w14:textId="77777777" w:rsidR="004412E5" w:rsidRDefault="00AA4729" w:rsidP="00C4031C">
      <w:pPr>
        <w:jc w:val="both"/>
      </w:pPr>
      <w:r>
        <w:rPr>
          <w:b/>
          <w:lang w:val="en-US"/>
        </w:rPr>
        <w:fldChar w:fldCharType="begin"/>
      </w:r>
      <w:r>
        <w:rPr>
          <w:b/>
          <w:lang w:val="en-US"/>
        </w:rPr>
        <w:instrText xml:space="preserve"> LINK </w:instrText>
      </w:r>
      <w:r w:rsidR="00F228F7">
        <w:rPr>
          <w:b/>
          <w:lang w:val="en-US"/>
        </w:rPr>
        <w:instrText xml:space="preserve">Excel.SheetBinaryMacroEnabled.12 "C:\\Users\\sinaoz\\Google Drive\\EUSA conference paper (Denver 2019)\\New Stuff\\Replication material\\Speaking_of_Accession_Fatigue_Replication\\Trajectory analysis\\group_frames.csv" group_frames!R1C2:R4C7 </w:instrText>
      </w:r>
      <w:r>
        <w:rPr>
          <w:b/>
          <w:lang w:val="en-US"/>
        </w:rPr>
        <w:instrText xml:space="preserve">\a \f 5 \h  \* MERGEFORMAT </w:instrText>
      </w:r>
      <w:r w:rsidR="004412E5">
        <w:rPr>
          <w:b/>
          <w:lang w:val="en-US"/>
        </w:rPr>
        <w:fldChar w:fldCharType="separate"/>
      </w:r>
    </w:p>
    <w:tbl>
      <w:tblPr>
        <w:tblStyle w:val="TableGrid"/>
        <w:tblW w:w="5779" w:type="dxa"/>
        <w:tblLook w:val="04A0" w:firstRow="1" w:lastRow="0" w:firstColumn="1" w:lastColumn="0" w:noHBand="0" w:noVBand="1"/>
      </w:tblPr>
      <w:tblGrid>
        <w:gridCol w:w="960"/>
        <w:gridCol w:w="960"/>
        <w:gridCol w:w="960"/>
        <w:gridCol w:w="1191"/>
        <w:gridCol w:w="1142"/>
        <w:gridCol w:w="960"/>
      </w:tblGrid>
      <w:tr w:rsidR="004412E5" w:rsidRPr="004412E5" w14:paraId="764EEB0C" w14:textId="77777777" w:rsidTr="004412E5">
        <w:trPr>
          <w:divId w:val="2051344737"/>
          <w:trHeight w:val="300"/>
        </w:trPr>
        <w:tc>
          <w:tcPr>
            <w:tcW w:w="960" w:type="dxa"/>
            <w:noWrap/>
            <w:hideMark/>
          </w:tcPr>
          <w:p w14:paraId="4F1A6B1A" w14:textId="52743C85" w:rsidR="004412E5" w:rsidRPr="004412E5" w:rsidRDefault="004412E5" w:rsidP="004412E5">
            <w:pPr>
              <w:jc w:val="both"/>
              <w:rPr>
                <w:b/>
              </w:rPr>
            </w:pPr>
            <w:r w:rsidRPr="004412E5">
              <w:rPr>
                <w:b/>
              </w:rPr>
              <w:t>Group</w:t>
            </w:r>
          </w:p>
        </w:tc>
        <w:tc>
          <w:tcPr>
            <w:tcW w:w="960" w:type="dxa"/>
            <w:noWrap/>
            <w:hideMark/>
          </w:tcPr>
          <w:p w14:paraId="438BB6A3" w14:textId="77777777" w:rsidR="004412E5" w:rsidRPr="004412E5" w:rsidRDefault="004412E5" w:rsidP="004412E5">
            <w:pPr>
              <w:jc w:val="both"/>
              <w:rPr>
                <w:b/>
              </w:rPr>
            </w:pPr>
            <w:proofErr w:type="spellStart"/>
            <w:r w:rsidRPr="004412E5">
              <w:rPr>
                <w:b/>
              </w:rPr>
              <w:t>both</w:t>
            </w:r>
            <w:proofErr w:type="spellEnd"/>
          </w:p>
        </w:tc>
        <w:tc>
          <w:tcPr>
            <w:tcW w:w="960" w:type="dxa"/>
            <w:noWrap/>
            <w:hideMark/>
          </w:tcPr>
          <w:p w14:paraId="61EA5E29" w14:textId="77777777" w:rsidR="004412E5" w:rsidRPr="004412E5" w:rsidRDefault="004412E5" w:rsidP="004412E5">
            <w:pPr>
              <w:jc w:val="both"/>
              <w:rPr>
                <w:b/>
              </w:rPr>
            </w:pPr>
            <w:proofErr w:type="spellStart"/>
            <w:r w:rsidRPr="004412E5">
              <w:rPr>
                <w:b/>
              </w:rPr>
              <w:t>Neither</w:t>
            </w:r>
            <w:proofErr w:type="spellEnd"/>
          </w:p>
        </w:tc>
        <w:tc>
          <w:tcPr>
            <w:tcW w:w="979" w:type="dxa"/>
            <w:noWrap/>
            <w:hideMark/>
          </w:tcPr>
          <w:p w14:paraId="772B27A7" w14:textId="77777777" w:rsidR="004412E5" w:rsidRPr="004412E5" w:rsidRDefault="004412E5" w:rsidP="004412E5">
            <w:pPr>
              <w:jc w:val="both"/>
              <w:rPr>
                <w:b/>
              </w:rPr>
            </w:pPr>
            <w:r w:rsidRPr="004412E5">
              <w:rPr>
                <w:b/>
              </w:rPr>
              <w:t>Normative</w:t>
            </w:r>
          </w:p>
        </w:tc>
        <w:tc>
          <w:tcPr>
            <w:tcW w:w="960" w:type="dxa"/>
            <w:noWrap/>
            <w:hideMark/>
          </w:tcPr>
          <w:p w14:paraId="4D9D2CED" w14:textId="77777777" w:rsidR="004412E5" w:rsidRPr="004412E5" w:rsidRDefault="004412E5" w:rsidP="004412E5">
            <w:pPr>
              <w:jc w:val="both"/>
              <w:rPr>
                <w:b/>
              </w:rPr>
            </w:pPr>
            <w:proofErr w:type="spellStart"/>
            <w:r w:rsidRPr="004412E5">
              <w:rPr>
                <w:b/>
              </w:rPr>
              <w:t>Utilitarian</w:t>
            </w:r>
            <w:proofErr w:type="spellEnd"/>
          </w:p>
        </w:tc>
        <w:tc>
          <w:tcPr>
            <w:tcW w:w="960" w:type="dxa"/>
            <w:noWrap/>
            <w:hideMark/>
          </w:tcPr>
          <w:p w14:paraId="21D1524C" w14:textId="77777777" w:rsidR="004412E5" w:rsidRPr="004412E5" w:rsidRDefault="004412E5" w:rsidP="004412E5">
            <w:pPr>
              <w:jc w:val="both"/>
              <w:rPr>
                <w:b/>
              </w:rPr>
            </w:pPr>
            <w:r w:rsidRPr="004412E5">
              <w:rPr>
                <w:b/>
              </w:rPr>
              <w:t>Sum</w:t>
            </w:r>
          </w:p>
        </w:tc>
      </w:tr>
      <w:tr w:rsidR="004412E5" w:rsidRPr="004412E5" w14:paraId="3E6987E4" w14:textId="77777777" w:rsidTr="004412E5">
        <w:trPr>
          <w:divId w:val="2051344737"/>
          <w:trHeight w:val="300"/>
        </w:trPr>
        <w:tc>
          <w:tcPr>
            <w:tcW w:w="960" w:type="dxa"/>
            <w:noWrap/>
            <w:hideMark/>
          </w:tcPr>
          <w:p w14:paraId="4C9C2977" w14:textId="77777777" w:rsidR="004412E5" w:rsidRPr="004412E5" w:rsidRDefault="004412E5" w:rsidP="004412E5">
            <w:pPr>
              <w:jc w:val="both"/>
            </w:pPr>
            <w:r w:rsidRPr="004412E5">
              <w:t>1</w:t>
            </w:r>
          </w:p>
        </w:tc>
        <w:tc>
          <w:tcPr>
            <w:tcW w:w="960" w:type="dxa"/>
            <w:noWrap/>
            <w:hideMark/>
          </w:tcPr>
          <w:p w14:paraId="1DEF88AF" w14:textId="77777777" w:rsidR="004412E5" w:rsidRPr="004412E5" w:rsidRDefault="004412E5" w:rsidP="004412E5">
            <w:pPr>
              <w:jc w:val="both"/>
            </w:pPr>
            <w:r w:rsidRPr="004412E5">
              <w:t>47,3</w:t>
            </w:r>
          </w:p>
        </w:tc>
        <w:tc>
          <w:tcPr>
            <w:tcW w:w="960" w:type="dxa"/>
            <w:noWrap/>
            <w:hideMark/>
          </w:tcPr>
          <w:p w14:paraId="095B5BDF" w14:textId="77777777" w:rsidR="004412E5" w:rsidRPr="004412E5" w:rsidRDefault="004412E5" w:rsidP="004412E5">
            <w:pPr>
              <w:jc w:val="both"/>
            </w:pPr>
            <w:r w:rsidRPr="004412E5">
              <w:t>10,5</w:t>
            </w:r>
          </w:p>
        </w:tc>
        <w:tc>
          <w:tcPr>
            <w:tcW w:w="979" w:type="dxa"/>
            <w:noWrap/>
            <w:hideMark/>
          </w:tcPr>
          <w:p w14:paraId="10E039A1" w14:textId="77777777" w:rsidR="004412E5" w:rsidRPr="004412E5" w:rsidRDefault="004412E5" w:rsidP="004412E5">
            <w:pPr>
              <w:jc w:val="both"/>
            </w:pPr>
            <w:r w:rsidRPr="004412E5">
              <w:t>21,1</w:t>
            </w:r>
          </w:p>
        </w:tc>
        <w:tc>
          <w:tcPr>
            <w:tcW w:w="960" w:type="dxa"/>
            <w:noWrap/>
            <w:hideMark/>
          </w:tcPr>
          <w:p w14:paraId="050F9123" w14:textId="77777777" w:rsidR="004412E5" w:rsidRPr="004412E5" w:rsidRDefault="004412E5" w:rsidP="004412E5">
            <w:pPr>
              <w:jc w:val="both"/>
            </w:pPr>
            <w:r w:rsidRPr="004412E5">
              <w:t>21,0</w:t>
            </w:r>
          </w:p>
        </w:tc>
        <w:tc>
          <w:tcPr>
            <w:tcW w:w="960" w:type="dxa"/>
            <w:noWrap/>
            <w:hideMark/>
          </w:tcPr>
          <w:p w14:paraId="413F8F4E" w14:textId="77777777" w:rsidR="004412E5" w:rsidRPr="004412E5" w:rsidRDefault="004412E5" w:rsidP="004412E5">
            <w:pPr>
              <w:jc w:val="both"/>
            </w:pPr>
            <w:r w:rsidRPr="004412E5">
              <w:t>100</w:t>
            </w:r>
          </w:p>
        </w:tc>
      </w:tr>
      <w:tr w:rsidR="004412E5" w:rsidRPr="004412E5" w14:paraId="3F79ED1A" w14:textId="77777777" w:rsidTr="004412E5">
        <w:trPr>
          <w:divId w:val="2051344737"/>
          <w:trHeight w:val="300"/>
        </w:trPr>
        <w:tc>
          <w:tcPr>
            <w:tcW w:w="960" w:type="dxa"/>
            <w:noWrap/>
            <w:hideMark/>
          </w:tcPr>
          <w:p w14:paraId="718F0686" w14:textId="77777777" w:rsidR="004412E5" w:rsidRPr="004412E5" w:rsidRDefault="004412E5" w:rsidP="004412E5">
            <w:pPr>
              <w:jc w:val="both"/>
            </w:pPr>
            <w:r w:rsidRPr="004412E5">
              <w:t>2</w:t>
            </w:r>
          </w:p>
        </w:tc>
        <w:tc>
          <w:tcPr>
            <w:tcW w:w="960" w:type="dxa"/>
            <w:noWrap/>
            <w:hideMark/>
          </w:tcPr>
          <w:p w14:paraId="16FA3493" w14:textId="77777777" w:rsidR="004412E5" w:rsidRPr="004412E5" w:rsidRDefault="004412E5" w:rsidP="004412E5">
            <w:pPr>
              <w:jc w:val="both"/>
            </w:pPr>
            <w:r w:rsidRPr="004412E5">
              <w:t>14,5</w:t>
            </w:r>
          </w:p>
        </w:tc>
        <w:tc>
          <w:tcPr>
            <w:tcW w:w="960" w:type="dxa"/>
            <w:noWrap/>
            <w:hideMark/>
          </w:tcPr>
          <w:p w14:paraId="17BFA27A" w14:textId="77777777" w:rsidR="004412E5" w:rsidRPr="004412E5" w:rsidRDefault="004412E5" w:rsidP="004412E5">
            <w:pPr>
              <w:jc w:val="both"/>
            </w:pPr>
            <w:r w:rsidRPr="004412E5">
              <w:t>18,4</w:t>
            </w:r>
          </w:p>
        </w:tc>
        <w:tc>
          <w:tcPr>
            <w:tcW w:w="979" w:type="dxa"/>
            <w:noWrap/>
            <w:hideMark/>
          </w:tcPr>
          <w:p w14:paraId="2DC8E934" w14:textId="77777777" w:rsidR="004412E5" w:rsidRPr="004412E5" w:rsidRDefault="004412E5" w:rsidP="004412E5">
            <w:pPr>
              <w:jc w:val="both"/>
            </w:pPr>
            <w:r w:rsidRPr="004412E5">
              <w:t>28,1</w:t>
            </w:r>
          </w:p>
        </w:tc>
        <w:tc>
          <w:tcPr>
            <w:tcW w:w="960" w:type="dxa"/>
            <w:noWrap/>
            <w:hideMark/>
          </w:tcPr>
          <w:p w14:paraId="0FA7434A" w14:textId="77777777" w:rsidR="004412E5" w:rsidRPr="004412E5" w:rsidRDefault="004412E5" w:rsidP="004412E5">
            <w:pPr>
              <w:jc w:val="both"/>
            </w:pPr>
            <w:r w:rsidRPr="004412E5">
              <w:t>38,8</w:t>
            </w:r>
          </w:p>
        </w:tc>
        <w:tc>
          <w:tcPr>
            <w:tcW w:w="960" w:type="dxa"/>
            <w:noWrap/>
            <w:hideMark/>
          </w:tcPr>
          <w:p w14:paraId="1ECD27BB" w14:textId="77777777" w:rsidR="004412E5" w:rsidRPr="004412E5" w:rsidRDefault="004412E5" w:rsidP="004412E5">
            <w:pPr>
              <w:jc w:val="both"/>
            </w:pPr>
            <w:r w:rsidRPr="004412E5">
              <w:t>100</w:t>
            </w:r>
          </w:p>
        </w:tc>
      </w:tr>
      <w:tr w:rsidR="004412E5" w:rsidRPr="004412E5" w14:paraId="234D15FE" w14:textId="77777777" w:rsidTr="004412E5">
        <w:trPr>
          <w:divId w:val="2051344737"/>
          <w:trHeight w:val="300"/>
        </w:trPr>
        <w:tc>
          <w:tcPr>
            <w:tcW w:w="960" w:type="dxa"/>
            <w:noWrap/>
            <w:hideMark/>
          </w:tcPr>
          <w:p w14:paraId="4389D2D1" w14:textId="77777777" w:rsidR="004412E5" w:rsidRPr="004412E5" w:rsidRDefault="004412E5" w:rsidP="004412E5">
            <w:pPr>
              <w:jc w:val="both"/>
            </w:pPr>
            <w:r w:rsidRPr="004412E5">
              <w:t>3</w:t>
            </w:r>
          </w:p>
        </w:tc>
        <w:tc>
          <w:tcPr>
            <w:tcW w:w="960" w:type="dxa"/>
            <w:noWrap/>
            <w:hideMark/>
          </w:tcPr>
          <w:p w14:paraId="196963A3" w14:textId="77777777" w:rsidR="004412E5" w:rsidRPr="004412E5" w:rsidRDefault="004412E5" w:rsidP="004412E5">
            <w:pPr>
              <w:jc w:val="both"/>
            </w:pPr>
            <w:r w:rsidRPr="004412E5">
              <w:t>28,3</w:t>
            </w:r>
          </w:p>
        </w:tc>
        <w:tc>
          <w:tcPr>
            <w:tcW w:w="960" w:type="dxa"/>
            <w:noWrap/>
            <w:hideMark/>
          </w:tcPr>
          <w:p w14:paraId="7B20112B" w14:textId="77777777" w:rsidR="004412E5" w:rsidRPr="004412E5" w:rsidRDefault="004412E5" w:rsidP="004412E5">
            <w:pPr>
              <w:jc w:val="both"/>
            </w:pPr>
            <w:r w:rsidRPr="004412E5">
              <w:t>10,8</w:t>
            </w:r>
          </w:p>
        </w:tc>
        <w:tc>
          <w:tcPr>
            <w:tcW w:w="979" w:type="dxa"/>
            <w:noWrap/>
            <w:hideMark/>
          </w:tcPr>
          <w:p w14:paraId="183F9E3A" w14:textId="77777777" w:rsidR="004412E5" w:rsidRPr="004412E5" w:rsidRDefault="004412E5" w:rsidP="004412E5">
            <w:pPr>
              <w:jc w:val="both"/>
            </w:pPr>
            <w:r w:rsidRPr="004412E5">
              <w:t>19,1</w:t>
            </w:r>
          </w:p>
        </w:tc>
        <w:tc>
          <w:tcPr>
            <w:tcW w:w="960" w:type="dxa"/>
            <w:noWrap/>
            <w:hideMark/>
          </w:tcPr>
          <w:p w14:paraId="5BA5D76F" w14:textId="77777777" w:rsidR="004412E5" w:rsidRPr="004412E5" w:rsidRDefault="004412E5" w:rsidP="004412E5">
            <w:pPr>
              <w:jc w:val="both"/>
            </w:pPr>
            <w:r w:rsidRPr="004412E5">
              <w:t>41,6</w:t>
            </w:r>
          </w:p>
        </w:tc>
        <w:tc>
          <w:tcPr>
            <w:tcW w:w="960" w:type="dxa"/>
            <w:noWrap/>
            <w:hideMark/>
          </w:tcPr>
          <w:p w14:paraId="0446984B" w14:textId="77777777" w:rsidR="004412E5" w:rsidRPr="004412E5" w:rsidRDefault="004412E5" w:rsidP="004412E5">
            <w:pPr>
              <w:jc w:val="both"/>
            </w:pPr>
            <w:r w:rsidRPr="004412E5">
              <w:t>100</w:t>
            </w:r>
          </w:p>
        </w:tc>
      </w:tr>
    </w:tbl>
    <w:p w14:paraId="315295B6" w14:textId="27CCB6BF" w:rsidR="00AA4729" w:rsidRPr="00AA4729" w:rsidRDefault="00AA4729" w:rsidP="00C4031C">
      <w:pPr>
        <w:jc w:val="both"/>
        <w:rPr>
          <w:b/>
          <w:lang w:val="en-US"/>
        </w:rPr>
      </w:pPr>
      <w:r>
        <w:rPr>
          <w:b/>
          <w:lang w:val="en-US"/>
        </w:rPr>
        <w:fldChar w:fldCharType="end"/>
      </w:r>
    </w:p>
    <w:p w14:paraId="6A0BF016" w14:textId="0704E155" w:rsidR="002566D2" w:rsidRDefault="00B32631" w:rsidP="00C4031C">
      <w:pPr>
        <w:jc w:val="both"/>
        <w:rPr>
          <w:b/>
          <w:lang w:val="en-US"/>
        </w:rPr>
      </w:pPr>
      <w:r>
        <w:rPr>
          <w:b/>
          <w:lang w:val="en-US"/>
        </w:rPr>
        <w:t>Table X: Group compositions</w:t>
      </w:r>
    </w:p>
    <w:tbl>
      <w:tblPr>
        <w:tblStyle w:val="TableGrid"/>
        <w:tblW w:w="0" w:type="auto"/>
        <w:tblLook w:val="04A0" w:firstRow="1" w:lastRow="0" w:firstColumn="1" w:lastColumn="0" w:noHBand="0" w:noVBand="1"/>
      </w:tblPr>
      <w:tblGrid>
        <w:gridCol w:w="1127"/>
        <w:gridCol w:w="1276"/>
        <w:gridCol w:w="994"/>
        <w:gridCol w:w="1134"/>
        <w:gridCol w:w="2125"/>
        <w:gridCol w:w="1480"/>
        <w:gridCol w:w="880"/>
      </w:tblGrid>
      <w:tr w:rsidR="00B32631" w:rsidRPr="00B32631" w14:paraId="0ECD5752" w14:textId="77777777" w:rsidTr="00B32631">
        <w:trPr>
          <w:trHeight w:val="290"/>
        </w:trPr>
        <w:tc>
          <w:tcPr>
            <w:tcW w:w="1127" w:type="dxa"/>
            <w:noWrap/>
            <w:hideMark/>
          </w:tcPr>
          <w:p w14:paraId="0B926E7F" w14:textId="77777777" w:rsidR="00B32631" w:rsidRPr="00B32631" w:rsidRDefault="00B32631" w:rsidP="00B32631">
            <w:pPr>
              <w:jc w:val="both"/>
              <w:rPr>
                <w:b/>
              </w:rPr>
            </w:pPr>
            <w:r w:rsidRPr="00B32631">
              <w:rPr>
                <w:b/>
              </w:rPr>
              <w:t>Group</w:t>
            </w:r>
          </w:p>
        </w:tc>
        <w:tc>
          <w:tcPr>
            <w:tcW w:w="1276" w:type="dxa"/>
            <w:noWrap/>
            <w:hideMark/>
          </w:tcPr>
          <w:p w14:paraId="0BA5B4B0" w14:textId="77777777" w:rsidR="00B32631" w:rsidRPr="00B32631" w:rsidRDefault="00B32631" w:rsidP="00B32631">
            <w:pPr>
              <w:jc w:val="both"/>
              <w:rPr>
                <w:b/>
              </w:rPr>
            </w:pPr>
            <w:r w:rsidRPr="00B32631">
              <w:rPr>
                <w:b/>
              </w:rPr>
              <w:t>AKP</w:t>
            </w:r>
          </w:p>
        </w:tc>
        <w:tc>
          <w:tcPr>
            <w:tcW w:w="994" w:type="dxa"/>
            <w:noWrap/>
            <w:hideMark/>
          </w:tcPr>
          <w:p w14:paraId="6F118067" w14:textId="77777777" w:rsidR="00B32631" w:rsidRPr="00B32631" w:rsidRDefault="00B32631" w:rsidP="00B32631">
            <w:pPr>
              <w:jc w:val="both"/>
              <w:rPr>
                <w:b/>
              </w:rPr>
            </w:pPr>
            <w:r w:rsidRPr="00B32631">
              <w:rPr>
                <w:b/>
              </w:rPr>
              <w:t>CHP</w:t>
            </w:r>
          </w:p>
        </w:tc>
        <w:tc>
          <w:tcPr>
            <w:tcW w:w="1134" w:type="dxa"/>
            <w:noWrap/>
            <w:hideMark/>
          </w:tcPr>
          <w:p w14:paraId="0D77DFAA" w14:textId="77777777" w:rsidR="00B32631" w:rsidRPr="00B32631" w:rsidRDefault="00B32631" w:rsidP="00B32631">
            <w:pPr>
              <w:jc w:val="both"/>
              <w:rPr>
                <w:b/>
              </w:rPr>
            </w:pPr>
            <w:r w:rsidRPr="00B32631">
              <w:rPr>
                <w:b/>
              </w:rPr>
              <w:t>MHP</w:t>
            </w:r>
          </w:p>
        </w:tc>
        <w:tc>
          <w:tcPr>
            <w:tcW w:w="2125" w:type="dxa"/>
            <w:noWrap/>
            <w:hideMark/>
          </w:tcPr>
          <w:p w14:paraId="4ACC3421" w14:textId="77777777" w:rsidR="00B32631" w:rsidRPr="00B32631" w:rsidRDefault="00B32631" w:rsidP="00B32631">
            <w:pPr>
              <w:jc w:val="both"/>
              <w:rPr>
                <w:b/>
              </w:rPr>
            </w:pPr>
            <w:proofErr w:type="spellStart"/>
            <w:r w:rsidRPr="00B32631">
              <w:rPr>
                <w:b/>
              </w:rPr>
              <w:t>Kurdish</w:t>
            </w:r>
            <w:proofErr w:type="spellEnd"/>
            <w:r w:rsidRPr="00B32631">
              <w:rPr>
                <w:b/>
              </w:rPr>
              <w:t xml:space="preserve"> Party Family</w:t>
            </w:r>
          </w:p>
        </w:tc>
        <w:tc>
          <w:tcPr>
            <w:tcW w:w="1480" w:type="dxa"/>
            <w:noWrap/>
            <w:hideMark/>
          </w:tcPr>
          <w:p w14:paraId="16F8B8BF" w14:textId="1812B60F" w:rsidR="00B32631" w:rsidRPr="00B32631" w:rsidRDefault="00B32631" w:rsidP="00B32631">
            <w:pPr>
              <w:jc w:val="both"/>
              <w:rPr>
                <w:b/>
              </w:rPr>
            </w:pPr>
            <w:proofErr w:type="spellStart"/>
            <w:r w:rsidRPr="00B32631">
              <w:rPr>
                <w:b/>
              </w:rPr>
              <w:t>Independents</w:t>
            </w:r>
            <w:proofErr w:type="spellEnd"/>
          </w:p>
        </w:tc>
        <w:tc>
          <w:tcPr>
            <w:tcW w:w="880" w:type="dxa"/>
            <w:noWrap/>
            <w:hideMark/>
          </w:tcPr>
          <w:p w14:paraId="5ED43A4C" w14:textId="77777777" w:rsidR="00B32631" w:rsidRPr="00B32631" w:rsidRDefault="00B32631" w:rsidP="00B32631">
            <w:pPr>
              <w:jc w:val="both"/>
              <w:rPr>
                <w:b/>
              </w:rPr>
            </w:pPr>
            <w:r w:rsidRPr="00B32631">
              <w:rPr>
                <w:b/>
              </w:rPr>
              <w:t>Sum</w:t>
            </w:r>
          </w:p>
        </w:tc>
      </w:tr>
      <w:tr w:rsidR="00220B3F" w:rsidRPr="00B32631" w14:paraId="015AF43A" w14:textId="77777777" w:rsidTr="00220B3F">
        <w:trPr>
          <w:trHeight w:val="290"/>
        </w:trPr>
        <w:tc>
          <w:tcPr>
            <w:tcW w:w="1127" w:type="dxa"/>
            <w:noWrap/>
            <w:hideMark/>
          </w:tcPr>
          <w:p w14:paraId="769B92DE" w14:textId="77777777" w:rsidR="00220B3F" w:rsidRPr="00B32631" w:rsidRDefault="00220B3F" w:rsidP="00220B3F">
            <w:pPr>
              <w:jc w:val="both"/>
            </w:pPr>
            <w:r w:rsidRPr="00B32631">
              <w:t>1</w:t>
            </w:r>
          </w:p>
        </w:tc>
        <w:tc>
          <w:tcPr>
            <w:tcW w:w="1276" w:type="dxa"/>
            <w:noWrap/>
          </w:tcPr>
          <w:p w14:paraId="495E43B0" w14:textId="73459822" w:rsidR="00220B3F" w:rsidRPr="00B32631" w:rsidRDefault="00220B3F" w:rsidP="00220B3F">
            <w:pPr>
              <w:jc w:val="both"/>
            </w:pPr>
            <w:r w:rsidRPr="00BA11D1">
              <w:t>30,7</w:t>
            </w:r>
          </w:p>
        </w:tc>
        <w:tc>
          <w:tcPr>
            <w:tcW w:w="994" w:type="dxa"/>
            <w:noWrap/>
          </w:tcPr>
          <w:p w14:paraId="40578649" w14:textId="4FEA3774" w:rsidR="00220B3F" w:rsidRPr="00B32631" w:rsidRDefault="00220B3F" w:rsidP="00220B3F">
            <w:pPr>
              <w:jc w:val="both"/>
            </w:pPr>
            <w:r w:rsidRPr="00BA11D1">
              <w:t>30,7</w:t>
            </w:r>
          </w:p>
        </w:tc>
        <w:tc>
          <w:tcPr>
            <w:tcW w:w="1134" w:type="dxa"/>
            <w:noWrap/>
          </w:tcPr>
          <w:p w14:paraId="78C78611" w14:textId="675E3494" w:rsidR="00220B3F" w:rsidRPr="00B32631" w:rsidRDefault="00220B3F" w:rsidP="00220B3F">
            <w:pPr>
              <w:jc w:val="both"/>
            </w:pPr>
            <w:r w:rsidRPr="00BA11D1">
              <w:t>7,7</w:t>
            </w:r>
          </w:p>
        </w:tc>
        <w:tc>
          <w:tcPr>
            <w:tcW w:w="2125" w:type="dxa"/>
            <w:noWrap/>
          </w:tcPr>
          <w:p w14:paraId="196F3B6E" w14:textId="241410FF" w:rsidR="00220B3F" w:rsidRPr="00B32631" w:rsidRDefault="00220B3F" w:rsidP="00220B3F">
            <w:pPr>
              <w:jc w:val="both"/>
            </w:pPr>
            <w:r w:rsidRPr="00BA11D1">
              <w:t>30,7</w:t>
            </w:r>
          </w:p>
        </w:tc>
        <w:tc>
          <w:tcPr>
            <w:tcW w:w="1480" w:type="dxa"/>
            <w:noWrap/>
          </w:tcPr>
          <w:p w14:paraId="5B47AB2C" w14:textId="30DCCA73" w:rsidR="00220B3F" w:rsidRPr="00B32631" w:rsidRDefault="00220B3F" w:rsidP="00220B3F">
            <w:pPr>
              <w:jc w:val="both"/>
            </w:pPr>
            <w:r w:rsidRPr="00BA11D1">
              <w:t>0</w:t>
            </w:r>
          </w:p>
        </w:tc>
        <w:tc>
          <w:tcPr>
            <w:tcW w:w="880" w:type="dxa"/>
            <w:noWrap/>
          </w:tcPr>
          <w:p w14:paraId="677EAA5F" w14:textId="214F6004" w:rsidR="00220B3F" w:rsidRPr="00B32631" w:rsidRDefault="00220B3F" w:rsidP="00220B3F">
            <w:pPr>
              <w:jc w:val="both"/>
            </w:pPr>
            <w:r w:rsidRPr="00BA11D1">
              <w:t>100</w:t>
            </w:r>
          </w:p>
        </w:tc>
      </w:tr>
      <w:tr w:rsidR="00220B3F" w:rsidRPr="00B32631" w14:paraId="59016445" w14:textId="77777777" w:rsidTr="00220B3F">
        <w:trPr>
          <w:trHeight w:val="290"/>
        </w:trPr>
        <w:tc>
          <w:tcPr>
            <w:tcW w:w="1127" w:type="dxa"/>
            <w:noWrap/>
            <w:hideMark/>
          </w:tcPr>
          <w:p w14:paraId="19581643" w14:textId="77777777" w:rsidR="00220B3F" w:rsidRPr="00B32631" w:rsidRDefault="00220B3F" w:rsidP="00220B3F">
            <w:pPr>
              <w:jc w:val="both"/>
            </w:pPr>
            <w:r w:rsidRPr="00B32631">
              <w:t>2</w:t>
            </w:r>
          </w:p>
        </w:tc>
        <w:tc>
          <w:tcPr>
            <w:tcW w:w="1276" w:type="dxa"/>
            <w:noWrap/>
          </w:tcPr>
          <w:p w14:paraId="635ABCDD" w14:textId="7D2342CE" w:rsidR="00220B3F" w:rsidRPr="00B32631" w:rsidRDefault="00220B3F" w:rsidP="00220B3F">
            <w:pPr>
              <w:jc w:val="both"/>
            </w:pPr>
            <w:r w:rsidRPr="00BA11D1">
              <w:t>54,2</w:t>
            </w:r>
          </w:p>
        </w:tc>
        <w:tc>
          <w:tcPr>
            <w:tcW w:w="994" w:type="dxa"/>
            <w:noWrap/>
          </w:tcPr>
          <w:p w14:paraId="2B0C5C4A" w14:textId="4CC6D25F" w:rsidR="00220B3F" w:rsidRPr="00B32631" w:rsidRDefault="00220B3F" w:rsidP="00220B3F">
            <w:pPr>
              <w:jc w:val="both"/>
            </w:pPr>
            <w:r w:rsidRPr="00BA11D1">
              <w:t>24,2</w:t>
            </w:r>
          </w:p>
        </w:tc>
        <w:tc>
          <w:tcPr>
            <w:tcW w:w="1134" w:type="dxa"/>
            <w:noWrap/>
          </w:tcPr>
          <w:p w14:paraId="143D578E" w14:textId="028151F8" w:rsidR="00220B3F" w:rsidRPr="00B32631" w:rsidRDefault="00220B3F" w:rsidP="00220B3F">
            <w:pPr>
              <w:jc w:val="both"/>
            </w:pPr>
            <w:r w:rsidRPr="00BA11D1">
              <w:t>11,4</w:t>
            </w:r>
          </w:p>
        </w:tc>
        <w:tc>
          <w:tcPr>
            <w:tcW w:w="2125" w:type="dxa"/>
            <w:noWrap/>
          </w:tcPr>
          <w:p w14:paraId="10549FCE" w14:textId="36324733" w:rsidR="00220B3F" w:rsidRPr="00B32631" w:rsidRDefault="00220B3F" w:rsidP="00220B3F">
            <w:pPr>
              <w:jc w:val="both"/>
            </w:pPr>
            <w:r w:rsidRPr="00BA11D1">
              <w:t>10</w:t>
            </w:r>
          </w:p>
        </w:tc>
        <w:tc>
          <w:tcPr>
            <w:tcW w:w="1480" w:type="dxa"/>
            <w:noWrap/>
          </w:tcPr>
          <w:p w14:paraId="198364AD" w14:textId="41E23A88" w:rsidR="00220B3F" w:rsidRPr="00B32631" w:rsidRDefault="00220B3F" w:rsidP="00220B3F">
            <w:pPr>
              <w:jc w:val="both"/>
            </w:pPr>
            <w:r w:rsidRPr="00BA11D1">
              <w:t>0</w:t>
            </w:r>
          </w:p>
        </w:tc>
        <w:tc>
          <w:tcPr>
            <w:tcW w:w="880" w:type="dxa"/>
            <w:noWrap/>
          </w:tcPr>
          <w:p w14:paraId="60B9F539" w14:textId="1EEC5D6F" w:rsidR="00220B3F" w:rsidRPr="00B32631" w:rsidRDefault="00220B3F" w:rsidP="00220B3F">
            <w:pPr>
              <w:jc w:val="both"/>
            </w:pPr>
            <w:r w:rsidRPr="00BA11D1">
              <w:t>100</w:t>
            </w:r>
          </w:p>
        </w:tc>
      </w:tr>
      <w:tr w:rsidR="00220B3F" w:rsidRPr="00B32631" w14:paraId="4174926D" w14:textId="77777777" w:rsidTr="00220B3F">
        <w:trPr>
          <w:trHeight w:val="290"/>
        </w:trPr>
        <w:tc>
          <w:tcPr>
            <w:tcW w:w="1127" w:type="dxa"/>
            <w:noWrap/>
            <w:hideMark/>
          </w:tcPr>
          <w:p w14:paraId="25709FBB" w14:textId="77777777" w:rsidR="00220B3F" w:rsidRPr="00B32631" w:rsidRDefault="00220B3F" w:rsidP="00220B3F">
            <w:pPr>
              <w:jc w:val="both"/>
            </w:pPr>
            <w:r w:rsidRPr="00B32631">
              <w:t>3</w:t>
            </w:r>
          </w:p>
        </w:tc>
        <w:tc>
          <w:tcPr>
            <w:tcW w:w="1276" w:type="dxa"/>
            <w:noWrap/>
          </w:tcPr>
          <w:p w14:paraId="6CAC9BA7" w14:textId="6CC91F9F" w:rsidR="00220B3F" w:rsidRPr="00B32631" w:rsidRDefault="00220B3F" w:rsidP="00220B3F">
            <w:pPr>
              <w:jc w:val="both"/>
            </w:pPr>
            <w:r w:rsidRPr="00BA11D1">
              <w:t>43,1</w:t>
            </w:r>
          </w:p>
        </w:tc>
        <w:tc>
          <w:tcPr>
            <w:tcW w:w="994" w:type="dxa"/>
            <w:noWrap/>
          </w:tcPr>
          <w:p w14:paraId="34DC43E3" w14:textId="7ACF0EB8" w:rsidR="00220B3F" w:rsidRPr="00B32631" w:rsidRDefault="00220B3F" w:rsidP="00220B3F">
            <w:pPr>
              <w:jc w:val="both"/>
            </w:pPr>
            <w:r w:rsidRPr="00BA11D1">
              <w:t>36,3</w:t>
            </w:r>
          </w:p>
        </w:tc>
        <w:tc>
          <w:tcPr>
            <w:tcW w:w="1134" w:type="dxa"/>
            <w:noWrap/>
          </w:tcPr>
          <w:p w14:paraId="01253CCD" w14:textId="7474A1B3" w:rsidR="00220B3F" w:rsidRPr="00B32631" w:rsidRDefault="00220B3F" w:rsidP="00220B3F">
            <w:pPr>
              <w:jc w:val="both"/>
            </w:pPr>
            <w:r w:rsidRPr="00BA11D1">
              <w:t>6,8</w:t>
            </w:r>
          </w:p>
        </w:tc>
        <w:tc>
          <w:tcPr>
            <w:tcW w:w="2125" w:type="dxa"/>
            <w:noWrap/>
          </w:tcPr>
          <w:p w14:paraId="0C9A3614" w14:textId="396C4FC8" w:rsidR="00220B3F" w:rsidRPr="00B32631" w:rsidRDefault="00220B3F" w:rsidP="00220B3F">
            <w:pPr>
              <w:jc w:val="both"/>
            </w:pPr>
            <w:r w:rsidRPr="00BA11D1">
              <w:t>9,0</w:t>
            </w:r>
          </w:p>
        </w:tc>
        <w:tc>
          <w:tcPr>
            <w:tcW w:w="1480" w:type="dxa"/>
            <w:noWrap/>
          </w:tcPr>
          <w:p w14:paraId="13195A30" w14:textId="0B3D79F6" w:rsidR="00220B3F" w:rsidRPr="00B32631" w:rsidRDefault="00220B3F" w:rsidP="00220B3F">
            <w:pPr>
              <w:jc w:val="both"/>
            </w:pPr>
            <w:r w:rsidRPr="00BA11D1">
              <w:t>4,5</w:t>
            </w:r>
          </w:p>
        </w:tc>
        <w:tc>
          <w:tcPr>
            <w:tcW w:w="880" w:type="dxa"/>
            <w:noWrap/>
          </w:tcPr>
          <w:p w14:paraId="4EA595E7" w14:textId="507C7EB9" w:rsidR="00220B3F" w:rsidRPr="00B32631" w:rsidRDefault="00220B3F" w:rsidP="00220B3F">
            <w:pPr>
              <w:jc w:val="both"/>
            </w:pPr>
            <w:r w:rsidRPr="00BA11D1">
              <w:t>100</w:t>
            </w:r>
          </w:p>
        </w:tc>
      </w:tr>
    </w:tbl>
    <w:p w14:paraId="61452D47" w14:textId="20DF126D" w:rsidR="00B32631" w:rsidRDefault="00B32631" w:rsidP="00C4031C">
      <w:pPr>
        <w:jc w:val="both"/>
        <w:rPr>
          <w:b/>
          <w:lang w:val="en-US"/>
        </w:rPr>
      </w:pPr>
    </w:p>
    <w:p w14:paraId="28D2A32F" w14:textId="33CB15C5" w:rsidR="00B32631" w:rsidRDefault="00B32631" w:rsidP="00C4031C">
      <w:pPr>
        <w:jc w:val="both"/>
        <w:rPr>
          <w:b/>
          <w:lang w:val="en-US"/>
        </w:rPr>
      </w:pPr>
    </w:p>
    <w:p w14:paraId="110EFC4A" w14:textId="4ABB5BF5" w:rsidR="00B32631" w:rsidRDefault="00B32631" w:rsidP="00C4031C">
      <w:pPr>
        <w:jc w:val="both"/>
        <w:rPr>
          <w:b/>
          <w:lang w:val="en-US"/>
        </w:rPr>
      </w:pPr>
      <w:r>
        <w:rPr>
          <w:b/>
          <w:lang w:val="en-US"/>
        </w:rPr>
        <w:t>Table X: Model fit statistics for different number of groups</w:t>
      </w:r>
    </w:p>
    <w:p w14:paraId="10C39D4C" w14:textId="3B76378A" w:rsidR="00B32631" w:rsidRDefault="00B32631" w:rsidP="00C4031C">
      <w:pPr>
        <w:jc w:val="both"/>
        <w:rPr>
          <w:b/>
          <w:lang w:val="en-US"/>
        </w:rPr>
      </w:pPr>
    </w:p>
    <w:tbl>
      <w:tblPr>
        <w:tblStyle w:val="TableGrid"/>
        <w:tblW w:w="0" w:type="auto"/>
        <w:tblLook w:val="04A0" w:firstRow="1" w:lastRow="0" w:firstColumn="1" w:lastColumn="0" w:noHBand="0" w:noVBand="1"/>
      </w:tblPr>
      <w:tblGrid>
        <w:gridCol w:w="960"/>
        <w:gridCol w:w="2296"/>
        <w:gridCol w:w="1275"/>
        <w:gridCol w:w="1276"/>
        <w:gridCol w:w="1418"/>
      </w:tblGrid>
      <w:tr w:rsidR="00B32631" w:rsidRPr="00B32631" w14:paraId="18E7C14C" w14:textId="77777777" w:rsidTr="00C76898">
        <w:trPr>
          <w:trHeight w:val="290"/>
        </w:trPr>
        <w:tc>
          <w:tcPr>
            <w:tcW w:w="960" w:type="dxa"/>
            <w:noWrap/>
            <w:hideMark/>
          </w:tcPr>
          <w:p w14:paraId="7E4799E6" w14:textId="26513189" w:rsidR="00B32631" w:rsidRPr="00B32631" w:rsidRDefault="00B32631" w:rsidP="00B32631">
            <w:pPr>
              <w:jc w:val="both"/>
              <w:rPr>
                <w:b/>
              </w:rPr>
            </w:pPr>
            <w:r>
              <w:rPr>
                <w:b/>
              </w:rPr>
              <w:t>G</w:t>
            </w:r>
            <w:r w:rsidRPr="00B32631">
              <w:rPr>
                <w:b/>
              </w:rPr>
              <w:t>roups</w:t>
            </w:r>
          </w:p>
        </w:tc>
        <w:tc>
          <w:tcPr>
            <w:tcW w:w="2296" w:type="dxa"/>
            <w:noWrap/>
            <w:hideMark/>
          </w:tcPr>
          <w:p w14:paraId="1BE8002C" w14:textId="5EF1488E" w:rsidR="00B32631" w:rsidRPr="00B32631" w:rsidRDefault="00B32631" w:rsidP="00B32631">
            <w:pPr>
              <w:jc w:val="both"/>
              <w:rPr>
                <w:b/>
              </w:rPr>
            </w:pPr>
            <w:r>
              <w:rPr>
                <w:b/>
              </w:rPr>
              <w:t>Log-</w:t>
            </w:r>
            <w:proofErr w:type="spellStart"/>
            <w:r>
              <w:rPr>
                <w:b/>
              </w:rPr>
              <w:t>Likelihood</w:t>
            </w:r>
            <w:proofErr w:type="spellEnd"/>
          </w:p>
        </w:tc>
        <w:tc>
          <w:tcPr>
            <w:tcW w:w="1275" w:type="dxa"/>
            <w:noWrap/>
            <w:hideMark/>
          </w:tcPr>
          <w:p w14:paraId="2E5B55F4" w14:textId="77777777" w:rsidR="00B32631" w:rsidRPr="00B32631" w:rsidRDefault="00B32631" w:rsidP="00B32631">
            <w:pPr>
              <w:jc w:val="both"/>
              <w:rPr>
                <w:b/>
              </w:rPr>
            </w:pPr>
            <w:r w:rsidRPr="00B32631">
              <w:rPr>
                <w:b/>
              </w:rPr>
              <w:t>AIC</w:t>
            </w:r>
          </w:p>
        </w:tc>
        <w:tc>
          <w:tcPr>
            <w:tcW w:w="1276" w:type="dxa"/>
            <w:noWrap/>
            <w:hideMark/>
          </w:tcPr>
          <w:p w14:paraId="00FD2D70" w14:textId="77777777" w:rsidR="00B32631" w:rsidRPr="00B32631" w:rsidRDefault="00B32631" w:rsidP="00B32631">
            <w:pPr>
              <w:jc w:val="both"/>
              <w:rPr>
                <w:b/>
              </w:rPr>
            </w:pPr>
            <w:r w:rsidRPr="00B32631">
              <w:rPr>
                <w:b/>
              </w:rPr>
              <w:t>BIC</w:t>
            </w:r>
          </w:p>
        </w:tc>
        <w:tc>
          <w:tcPr>
            <w:tcW w:w="1418" w:type="dxa"/>
            <w:noWrap/>
            <w:hideMark/>
          </w:tcPr>
          <w:p w14:paraId="0BC4D338" w14:textId="77777777" w:rsidR="00B32631" w:rsidRPr="00B32631" w:rsidRDefault="00B32631" w:rsidP="00B32631">
            <w:pPr>
              <w:jc w:val="both"/>
              <w:rPr>
                <w:b/>
              </w:rPr>
            </w:pPr>
            <w:r w:rsidRPr="00B32631">
              <w:rPr>
                <w:b/>
              </w:rPr>
              <w:t>CVE</w:t>
            </w:r>
          </w:p>
        </w:tc>
      </w:tr>
      <w:tr w:rsidR="00C76898" w:rsidRPr="00C76898" w14:paraId="7B75E9F3" w14:textId="77777777" w:rsidTr="00C76898">
        <w:trPr>
          <w:trHeight w:val="300"/>
        </w:trPr>
        <w:tc>
          <w:tcPr>
            <w:tcW w:w="960" w:type="dxa"/>
            <w:noWrap/>
            <w:hideMark/>
          </w:tcPr>
          <w:p w14:paraId="3B01775F" w14:textId="77777777" w:rsidR="00C76898" w:rsidRPr="00C76898" w:rsidRDefault="00C76898" w:rsidP="00C76898">
            <w:pPr>
              <w:jc w:val="right"/>
              <w:rPr>
                <w:rFonts w:ascii="Calibri" w:eastAsia="Times New Roman" w:hAnsi="Calibri" w:cs="Calibri"/>
                <w:color w:val="000000"/>
                <w:lang w:val="en-US"/>
              </w:rPr>
            </w:pPr>
            <w:r w:rsidRPr="00C76898">
              <w:rPr>
                <w:rFonts w:ascii="Calibri" w:eastAsia="Times New Roman" w:hAnsi="Calibri" w:cs="Calibri"/>
                <w:color w:val="000000"/>
                <w:lang w:val="en-US"/>
              </w:rPr>
              <w:t>1</w:t>
            </w:r>
          </w:p>
        </w:tc>
        <w:tc>
          <w:tcPr>
            <w:tcW w:w="2296" w:type="dxa"/>
            <w:noWrap/>
            <w:hideMark/>
          </w:tcPr>
          <w:p w14:paraId="424D3B2C" w14:textId="77777777" w:rsidR="00C76898" w:rsidRPr="00C76898" w:rsidRDefault="00C76898" w:rsidP="00C76898">
            <w:pPr>
              <w:rPr>
                <w:rFonts w:ascii="Calibri" w:eastAsia="Times New Roman" w:hAnsi="Calibri" w:cs="Calibri"/>
                <w:color w:val="000000"/>
                <w:lang w:val="en-US"/>
              </w:rPr>
            </w:pPr>
            <w:r w:rsidRPr="00C76898">
              <w:rPr>
                <w:rFonts w:ascii="Calibri" w:eastAsia="Times New Roman" w:hAnsi="Calibri" w:cs="Calibri"/>
                <w:color w:val="000000"/>
                <w:lang w:val="en-US"/>
              </w:rPr>
              <w:t>-700,35</w:t>
            </w:r>
          </w:p>
        </w:tc>
        <w:tc>
          <w:tcPr>
            <w:tcW w:w="1275" w:type="dxa"/>
            <w:noWrap/>
            <w:hideMark/>
          </w:tcPr>
          <w:p w14:paraId="27E3E1A6" w14:textId="77777777" w:rsidR="00C76898" w:rsidRPr="00C76898" w:rsidRDefault="00C76898" w:rsidP="00C76898">
            <w:pPr>
              <w:rPr>
                <w:rFonts w:ascii="Calibri" w:eastAsia="Times New Roman" w:hAnsi="Calibri" w:cs="Calibri"/>
                <w:color w:val="000000"/>
                <w:lang w:val="en-US"/>
              </w:rPr>
            </w:pPr>
            <w:r w:rsidRPr="00C76898">
              <w:rPr>
                <w:rFonts w:ascii="Calibri" w:eastAsia="Times New Roman" w:hAnsi="Calibri" w:cs="Calibri"/>
                <w:color w:val="000000"/>
                <w:lang w:val="en-US"/>
              </w:rPr>
              <w:t>1410,71</w:t>
            </w:r>
          </w:p>
        </w:tc>
        <w:tc>
          <w:tcPr>
            <w:tcW w:w="1276" w:type="dxa"/>
            <w:noWrap/>
            <w:hideMark/>
          </w:tcPr>
          <w:p w14:paraId="6C546EE6" w14:textId="77777777" w:rsidR="00C76898" w:rsidRPr="00C76898" w:rsidRDefault="00C76898" w:rsidP="00C76898">
            <w:pPr>
              <w:rPr>
                <w:rFonts w:ascii="Calibri" w:eastAsia="Times New Roman" w:hAnsi="Calibri" w:cs="Calibri"/>
                <w:color w:val="000000"/>
                <w:lang w:val="en-US"/>
              </w:rPr>
            </w:pPr>
            <w:r w:rsidRPr="00C76898">
              <w:rPr>
                <w:rFonts w:ascii="Calibri" w:eastAsia="Times New Roman" w:hAnsi="Calibri" w:cs="Calibri"/>
                <w:color w:val="000000"/>
                <w:lang w:val="en-US"/>
              </w:rPr>
              <w:t>1438,12</w:t>
            </w:r>
          </w:p>
        </w:tc>
        <w:tc>
          <w:tcPr>
            <w:tcW w:w="1418" w:type="dxa"/>
            <w:noWrap/>
            <w:hideMark/>
          </w:tcPr>
          <w:p w14:paraId="7E2F6656" w14:textId="77777777" w:rsidR="00C76898" w:rsidRPr="00C76898" w:rsidRDefault="00C76898" w:rsidP="00C76898">
            <w:pPr>
              <w:jc w:val="right"/>
              <w:rPr>
                <w:rFonts w:ascii="Calibri" w:eastAsia="Times New Roman" w:hAnsi="Calibri" w:cs="Calibri"/>
                <w:color w:val="000000"/>
                <w:lang w:val="en-US"/>
              </w:rPr>
            </w:pPr>
            <w:r w:rsidRPr="00C76898">
              <w:rPr>
                <w:rFonts w:ascii="Calibri" w:eastAsia="Times New Roman" w:hAnsi="Calibri" w:cs="Calibri"/>
                <w:color w:val="000000"/>
                <w:lang w:val="en-US"/>
              </w:rPr>
              <w:t>.23</w:t>
            </w:r>
          </w:p>
        </w:tc>
      </w:tr>
      <w:tr w:rsidR="00C76898" w:rsidRPr="00C76898" w14:paraId="14F6976A" w14:textId="77777777" w:rsidTr="00C76898">
        <w:trPr>
          <w:trHeight w:val="300"/>
        </w:trPr>
        <w:tc>
          <w:tcPr>
            <w:tcW w:w="960" w:type="dxa"/>
            <w:noWrap/>
            <w:hideMark/>
          </w:tcPr>
          <w:p w14:paraId="759D0117" w14:textId="77777777" w:rsidR="00C76898" w:rsidRPr="00C76898" w:rsidRDefault="00C76898" w:rsidP="00C76898">
            <w:pPr>
              <w:jc w:val="right"/>
              <w:rPr>
                <w:rFonts w:ascii="Calibri" w:eastAsia="Times New Roman" w:hAnsi="Calibri" w:cs="Calibri"/>
                <w:color w:val="000000"/>
                <w:lang w:val="en-US"/>
              </w:rPr>
            </w:pPr>
            <w:r w:rsidRPr="00C76898">
              <w:rPr>
                <w:rFonts w:ascii="Calibri" w:eastAsia="Times New Roman" w:hAnsi="Calibri" w:cs="Calibri"/>
                <w:color w:val="000000"/>
                <w:lang w:val="en-US"/>
              </w:rPr>
              <w:t>2</w:t>
            </w:r>
          </w:p>
        </w:tc>
        <w:tc>
          <w:tcPr>
            <w:tcW w:w="2296" w:type="dxa"/>
            <w:noWrap/>
            <w:hideMark/>
          </w:tcPr>
          <w:p w14:paraId="233FCC43" w14:textId="77777777" w:rsidR="00C76898" w:rsidRPr="00C76898" w:rsidRDefault="00C76898" w:rsidP="00C76898">
            <w:pPr>
              <w:rPr>
                <w:rFonts w:ascii="Calibri" w:eastAsia="Times New Roman" w:hAnsi="Calibri" w:cs="Calibri"/>
                <w:color w:val="000000"/>
                <w:lang w:val="en-US"/>
              </w:rPr>
            </w:pPr>
            <w:r w:rsidRPr="00C76898">
              <w:rPr>
                <w:rFonts w:ascii="Calibri" w:eastAsia="Times New Roman" w:hAnsi="Calibri" w:cs="Calibri"/>
                <w:color w:val="000000"/>
                <w:lang w:val="en-US"/>
              </w:rPr>
              <w:t>-679,28</w:t>
            </w:r>
          </w:p>
        </w:tc>
        <w:tc>
          <w:tcPr>
            <w:tcW w:w="1275" w:type="dxa"/>
            <w:noWrap/>
            <w:hideMark/>
          </w:tcPr>
          <w:p w14:paraId="618BF862" w14:textId="77777777" w:rsidR="00C76898" w:rsidRPr="00C76898" w:rsidRDefault="00C76898" w:rsidP="00C76898">
            <w:pPr>
              <w:rPr>
                <w:rFonts w:ascii="Calibri" w:eastAsia="Times New Roman" w:hAnsi="Calibri" w:cs="Calibri"/>
                <w:color w:val="000000"/>
                <w:lang w:val="en-US"/>
              </w:rPr>
            </w:pPr>
            <w:r w:rsidRPr="00C76898">
              <w:rPr>
                <w:rFonts w:ascii="Calibri" w:eastAsia="Times New Roman" w:hAnsi="Calibri" w:cs="Calibri"/>
                <w:color w:val="000000"/>
                <w:lang w:val="en-US"/>
              </w:rPr>
              <w:t>1380,56</w:t>
            </w:r>
          </w:p>
        </w:tc>
        <w:tc>
          <w:tcPr>
            <w:tcW w:w="1276" w:type="dxa"/>
            <w:noWrap/>
            <w:hideMark/>
          </w:tcPr>
          <w:p w14:paraId="51C4C3D5" w14:textId="77777777" w:rsidR="00C76898" w:rsidRPr="00C76898" w:rsidRDefault="00C76898" w:rsidP="00C76898">
            <w:pPr>
              <w:rPr>
                <w:rFonts w:ascii="Calibri" w:eastAsia="Times New Roman" w:hAnsi="Calibri" w:cs="Calibri"/>
                <w:color w:val="000000"/>
                <w:lang w:val="en-US"/>
              </w:rPr>
            </w:pPr>
            <w:r w:rsidRPr="00C76898">
              <w:rPr>
                <w:rFonts w:ascii="Calibri" w:eastAsia="Times New Roman" w:hAnsi="Calibri" w:cs="Calibri"/>
                <w:color w:val="000000"/>
                <w:lang w:val="en-US"/>
              </w:rPr>
              <w:t>1440,88</w:t>
            </w:r>
          </w:p>
        </w:tc>
        <w:tc>
          <w:tcPr>
            <w:tcW w:w="1418" w:type="dxa"/>
            <w:noWrap/>
            <w:hideMark/>
          </w:tcPr>
          <w:p w14:paraId="0499A25E" w14:textId="77777777" w:rsidR="00C76898" w:rsidRPr="00C76898" w:rsidRDefault="00C76898" w:rsidP="00C76898">
            <w:pPr>
              <w:jc w:val="right"/>
              <w:rPr>
                <w:rFonts w:ascii="Calibri" w:eastAsia="Times New Roman" w:hAnsi="Calibri" w:cs="Calibri"/>
                <w:color w:val="000000"/>
                <w:lang w:val="en-US"/>
              </w:rPr>
            </w:pPr>
            <w:r w:rsidRPr="00C76898">
              <w:rPr>
                <w:rFonts w:ascii="Calibri" w:eastAsia="Times New Roman" w:hAnsi="Calibri" w:cs="Calibri"/>
                <w:color w:val="000000"/>
                <w:lang w:val="en-US"/>
              </w:rPr>
              <w:t>.21</w:t>
            </w:r>
          </w:p>
        </w:tc>
      </w:tr>
      <w:tr w:rsidR="00C76898" w:rsidRPr="00C76898" w14:paraId="40C4A9B2" w14:textId="77777777" w:rsidTr="00C76898">
        <w:trPr>
          <w:trHeight w:val="300"/>
        </w:trPr>
        <w:tc>
          <w:tcPr>
            <w:tcW w:w="960" w:type="dxa"/>
            <w:noWrap/>
            <w:hideMark/>
          </w:tcPr>
          <w:p w14:paraId="531B77E0" w14:textId="77777777" w:rsidR="00C76898" w:rsidRPr="00C76898" w:rsidRDefault="00C76898" w:rsidP="00C76898">
            <w:pPr>
              <w:jc w:val="right"/>
              <w:rPr>
                <w:rFonts w:ascii="Calibri" w:eastAsia="Times New Roman" w:hAnsi="Calibri" w:cs="Calibri"/>
                <w:b/>
                <w:color w:val="000000"/>
                <w:lang w:val="en-US"/>
              </w:rPr>
            </w:pPr>
            <w:r w:rsidRPr="00C76898">
              <w:rPr>
                <w:rFonts w:ascii="Calibri" w:eastAsia="Times New Roman" w:hAnsi="Calibri" w:cs="Calibri"/>
                <w:b/>
                <w:color w:val="000000"/>
                <w:lang w:val="en-US"/>
              </w:rPr>
              <w:t>3</w:t>
            </w:r>
          </w:p>
        </w:tc>
        <w:tc>
          <w:tcPr>
            <w:tcW w:w="2296" w:type="dxa"/>
            <w:noWrap/>
            <w:hideMark/>
          </w:tcPr>
          <w:p w14:paraId="5FD2B952" w14:textId="77777777" w:rsidR="00C76898" w:rsidRPr="00C76898" w:rsidRDefault="00C76898" w:rsidP="00C76898">
            <w:pPr>
              <w:rPr>
                <w:rFonts w:ascii="Calibri" w:eastAsia="Times New Roman" w:hAnsi="Calibri" w:cs="Calibri"/>
                <w:b/>
                <w:color w:val="000000"/>
                <w:lang w:val="en-US"/>
              </w:rPr>
            </w:pPr>
            <w:r w:rsidRPr="00C76898">
              <w:rPr>
                <w:rFonts w:ascii="Calibri" w:eastAsia="Times New Roman" w:hAnsi="Calibri" w:cs="Calibri"/>
                <w:b/>
                <w:color w:val="000000"/>
                <w:lang w:val="en-US"/>
              </w:rPr>
              <w:t>-653,45</w:t>
            </w:r>
          </w:p>
        </w:tc>
        <w:tc>
          <w:tcPr>
            <w:tcW w:w="1275" w:type="dxa"/>
            <w:noWrap/>
            <w:hideMark/>
          </w:tcPr>
          <w:p w14:paraId="321C5CAD" w14:textId="77777777" w:rsidR="00C76898" w:rsidRPr="00C76898" w:rsidRDefault="00C76898" w:rsidP="00C76898">
            <w:pPr>
              <w:rPr>
                <w:rFonts w:ascii="Calibri" w:eastAsia="Times New Roman" w:hAnsi="Calibri" w:cs="Calibri"/>
                <w:b/>
                <w:color w:val="000000"/>
                <w:lang w:val="en-US"/>
              </w:rPr>
            </w:pPr>
            <w:r w:rsidRPr="00C76898">
              <w:rPr>
                <w:rFonts w:ascii="Calibri" w:eastAsia="Times New Roman" w:hAnsi="Calibri" w:cs="Calibri"/>
                <w:b/>
                <w:color w:val="000000"/>
                <w:lang w:val="en-US"/>
              </w:rPr>
              <w:t>1340,91</w:t>
            </w:r>
          </w:p>
        </w:tc>
        <w:tc>
          <w:tcPr>
            <w:tcW w:w="1276" w:type="dxa"/>
            <w:noWrap/>
            <w:hideMark/>
          </w:tcPr>
          <w:p w14:paraId="051C232E" w14:textId="77777777" w:rsidR="00C76898" w:rsidRPr="00C76898" w:rsidRDefault="00C76898" w:rsidP="00C76898">
            <w:pPr>
              <w:rPr>
                <w:rFonts w:ascii="Calibri" w:eastAsia="Times New Roman" w:hAnsi="Calibri" w:cs="Calibri"/>
                <w:b/>
                <w:color w:val="000000"/>
                <w:lang w:val="en-US"/>
              </w:rPr>
            </w:pPr>
            <w:r w:rsidRPr="00C76898">
              <w:rPr>
                <w:rFonts w:ascii="Calibri" w:eastAsia="Times New Roman" w:hAnsi="Calibri" w:cs="Calibri"/>
                <w:b/>
                <w:color w:val="000000"/>
                <w:lang w:val="en-US"/>
              </w:rPr>
              <w:t>1434,12</w:t>
            </w:r>
          </w:p>
        </w:tc>
        <w:tc>
          <w:tcPr>
            <w:tcW w:w="1418" w:type="dxa"/>
            <w:noWrap/>
            <w:hideMark/>
          </w:tcPr>
          <w:p w14:paraId="237E5662" w14:textId="77777777" w:rsidR="00C76898" w:rsidRPr="00C76898" w:rsidRDefault="00C76898" w:rsidP="00C76898">
            <w:pPr>
              <w:jc w:val="right"/>
              <w:rPr>
                <w:rFonts w:ascii="Calibri" w:eastAsia="Times New Roman" w:hAnsi="Calibri" w:cs="Calibri"/>
                <w:b/>
                <w:color w:val="000000"/>
                <w:lang w:val="en-US"/>
              </w:rPr>
            </w:pPr>
            <w:r w:rsidRPr="00C76898">
              <w:rPr>
                <w:rFonts w:ascii="Calibri" w:eastAsia="Times New Roman" w:hAnsi="Calibri" w:cs="Calibri"/>
                <w:b/>
                <w:color w:val="000000"/>
                <w:lang w:val="en-US"/>
              </w:rPr>
              <w:t>.19</w:t>
            </w:r>
          </w:p>
        </w:tc>
      </w:tr>
      <w:tr w:rsidR="00C76898" w:rsidRPr="00C76898" w14:paraId="19E3BEDB" w14:textId="77777777" w:rsidTr="00C76898">
        <w:trPr>
          <w:trHeight w:val="300"/>
        </w:trPr>
        <w:tc>
          <w:tcPr>
            <w:tcW w:w="960" w:type="dxa"/>
            <w:noWrap/>
            <w:hideMark/>
          </w:tcPr>
          <w:p w14:paraId="53AEDF10" w14:textId="77777777" w:rsidR="00C76898" w:rsidRPr="00C76898" w:rsidRDefault="00C76898" w:rsidP="00C76898">
            <w:pPr>
              <w:jc w:val="right"/>
              <w:rPr>
                <w:rFonts w:ascii="Calibri" w:eastAsia="Times New Roman" w:hAnsi="Calibri" w:cs="Calibri"/>
                <w:color w:val="000000"/>
                <w:lang w:val="en-US"/>
              </w:rPr>
            </w:pPr>
            <w:r w:rsidRPr="00C76898">
              <w:rPr>
                <w:rFonts w:ascii="Calibri" w:eastAsia="Times New Roman" w:hAnsi="Calibri" w:cs="Calibri"/>
                <w:color w:val="000000"/>
                <w:lang w:val="en-US"/>
              </w:rPr>
              <w:t>4</w:t>
            </w:r>
          </w:p>
        </w:tc>
        <w:tc>
          <w:tcPr>
            <w:tcW w:w="2296" w:type="dxa"/>
            <w:noWrap/>
            <w:hideMark/>
          </w:tcPr>
          <w:p w14:paraId="76B05B00" w14:textId="77777777" w:rsidR="00C76898" w:rsidRPr="00C76898" w:rsidRDefault="00C76898" w:rsidP="00C76898">
            <w:pPr>
              <w:rPr>
                <w:rFonts w:ascii="Calibri" w:eastAsia="Times New Roman" w:hAnsi="Calibri" w:cs="Calibri"/>
                <w:color w:val="000000"/>
                <w:lang w:val="en-US"/>
              </w:rPr>
            </w:pPr>
            <w:r w:rsidRPr="00C76898">
              <w:rPr>
                <w:rFonts w:ascii="Calibri" w:eastAsia="Times New Roman" w:hAnsi="Calibri" w:cs="Calibri"/>
                <w:color w:val="000000"/>
                <w:lang w:val="en-US"/>
              </w:rPr>
              <w:t>-644,95</w:t>
            </w:r>
          </w:p>
        </w:tc>
        <w:tc>
          <w:tcPr>
            <w:tcW w:w="1275" w:type="dxa"/>
            <w:noWrap/>
            <w:hideMark/>
          </w:tcPr>
          <w:p w14:paraId="66A0084F" w14:textId="77777777" w:rsidR="00C76898" w:rsidRPr="00C76898" w:rsidRDefault="00C76898" w:rsidP="00C76898">
            <w:pPr>
              <w:rPr>
                <w:rFonts w:ascii="Calibri" w:eastAsia="Times New Roman" w:hAnsi="Calibri" w:cs="Calibri"/>
                <w:color w:val="000000"/>
                <w:lang w:val="en-US"/>
              </w:rPr>
            </w:pPr>
            <w:r w:rsidRPr="00C76898">
              <w:rPr>
                <w:rFonts w:ascii="Calibri" w:eastAsia="Times New Roman" w:hAnsi="Calibri" w:cs="Calibri"/>
                <w:color w:val="000000"/>
                <w:lang w:val="en-US"/>
              </w:rPr>
              <w:t>1335,91</w:t>
            </w:r>
          </w:p>
        </w:tc>
        <w:tc>
          <w:tcPr>
            <w:tcW w:w="1276" w:type="dxa"/>
            <w:noWrap/>
            <w:hideMark/>
          </w:tcPr>
          <w:p w14:paraId="246B9B8A" w14:textId="77777777" w:rsidR="00C76898" w:rsidRPr="00C76898" w:rsidRDefault="00C76898" w:rsidP="00C76898">
            <w:pPr>
              <w:rPr>
                <w:rFonts w:ascii="Calibri" w:eastAsia="Times New Roman" w:hAnsi="Calibri" w:cs="Calibri"/>
                <w:color w:val="000000"/>
                <w:lang w:val="en-US"/>
              </w:rPr>
            </w:pPr>
            <w:r w:rsidRPr="00C76898">
              <w:rPr>
                <w:rFonts w:ascii="Calibri" w:eastAsia="Times New Roman" w:hAnsi="Calibri" w:cs="Calibri"/>
                <w:color w:val="000000"/>
                <w:lang w:val="en-US"/>
              </w:rPr>
              <w:t>1462,03</w:t>
            </w:r>
          </w:p>
        </w:tc>
        <w:tc>
          <w:tcPr>
            <w:tcW w:w="1418" w:type="dxa"/>
            <w:noWrap/>
            <w:hideMark/>
          </w:tcPr>
          <w:p w14:paraId="4F3AB2A2" w14:textId="77777777" w:rsidR="00C76898" w:rsidRPr="00C76898" w:rsidRDefault="00C76898" w:rsidP="00C76898">
            <w:pPr>
              <w:rPr>
                <w:rFonts w:ascii="Calibri" w:eastAsia="Times New Roman" w:hAnsi="Calibri" w:cs="Calibri"/>
                <w:color w:val="000000"/>
                <w:lang w:val="en-US"/>
              </w:rPr>
            </w:pPr>
            <w:r w:rsidRPr="00C76898">
              <w:rPr>
                <w:rFonts w:ascii="Calibri" w:eastAsia="Times New Roman" w:hAnsi="Calibri" w:cs="Calibri"/>
                <w:color w:val="000000"/>
                <w:lang w:val="en-US"/>
              </w:rPr>
              <w:t>Inf</w:t>
            </w:r>
          </w:p>
        </w:tc>
      </w:tr>
    </w:tbl>
    <w:p w14:paraId="5DE170A0" w14:textId="77777777" w:rsidR="00F228F7" w:rsidRDefault="00F228F7" w:rsidP="00F228F7">
      <w:pPr>
        <w:pStyle w:val="Bibliography"/>
        <w:rPr>
          <w:b/>
          <w:lang w:val="en-US"/>
        </w:rPr>
      </w:pPr>
    </w:p>
    <w:p w14:paraId="249E0C04" w14:textId="189B96AB" w:rsidR="00F228F7" w:rsidRDefault="00F228F7" w:rsidP="00F228F7">
      <w:pPr>
        <w:pStyle w:val="Bibliography"/>
        <w:rPr>
          <w:b/>
          <w:lang w:val="en-US"/>
        </w:rPr>
      </w:pPr>
      <w:r>
        <w:rPr>
          <w:b/>
          <w:lang w:val="en-US"/>
        </w:rPr>
        <w:t>Bibliography:</w:t>
      </w:r>
      <w:bookmarkStart w:id="0" w:name="_GoBack"/>
      <w:bookmarkEnd w:id="0"/>
    </w:p>
    <w:p w14:paraId="54898D4C" w14:textId="2CAA8431" w:rsidR="00F228F7" w:rsidRPr="00F228F7" w:rsidRDefault="00F228F7" w:rsidP="00F228F7">
      <w:pPr>
        <w:pStyle w:val="Bibliography"/>
        <w:rPr>
          <w:rFonts w:ascii="Calibri" w:hAnsi="Calibri" w:cs="Calibri"/>
        </w:rPr>
      </w:pPr>
      <w:r>
        <w:rPr>
          <w:b/>
          <w:lang w:val="en-US"/>
        </w:rPr>
        <w:fldChar w:fldCharType="begin"/>
      </w:r>
      <w:r>
        <w:rPr>
          <w:b/>
          <w:lang w:val="en-US"/>
        </w:rPr>
        <w:instrText xml:space="preserve"> ADDIN ZOTERO_BIBL {"uncited":[],"omitted":[],"custom":[]} CSL_BIBLIOGRAPHY </w:instrText>
      </w:r>
      <w:r>
        <w:rPr>
          <w:b/>
          <w:lang w:val="en-US"/>
        </w:rPr>
        <w:fldChar w:fldCharType="separate"/>
      </w:r>
      <w:proofErr w:type="spellStart"/>
      <w:r w:rsidRPr="00F228F7">
        <w:rPr>
          <w:rFonts w:ascii="Calibri" w:hAnsi="Calibri" w:cs="Calibri"/>
        </w:rPr>
        <w:t>Nagin</w:t>
      </w:r>
      <w:proofErr w:type="spellEnd"/>
      <w:r w:rsidRPr="00F228F7">
        <w:rPr>
          <w:rFonts w:ascii="Calibri" w:hAnsi="Calibri" w:cs="Calibri"/>
        </w:rPr>
        <w:t xml:space="preserve">, D. S. (1999). </w:t>
      </w:r>
      <w:proofErr w:type="spellStart"/>
      <w:r w:rsidRPr="00F228F7">
        <w:rPr>
          <w:rFonts w:ascii="Calibri" w:hAnsi="Calibri" w:cs="Calibri"/>
        </w:rPr>
        <w:t>Analyzing</w:t>
      </w:r>
      <w:proofErr w:type="spellEnd"/>
      <w:r w:rsidRPr="00F228F7">
        <w:rPr>
          <w:rFonts w:ascii="Calibri" w:hAnsi="Calibri" w:cs="Calibri"/>
        </w:rPr>
        <w:t xml:space="preserve"> </w:t>
      </w:r>
      <w:proofErr w:type="spellStart"/>
      <w:r w:rsidRPr="00F228F7">
        <w:rPr>
          <w:rFonts w:ascii="Calibri" w:hAnsi="Calibri" w:cs="Calibri"/>
        </w:rPr>
        <w:t>developmental</w:t>
      </w:r>
      <w:proofErr w:type="spellEnd"/>
      <w:r w:rsidRPr="00F228F7">
        <w:rPr>
          <w:rFonts w:ascii="Calibri" w:hAnsi="Calibri" w:cs="Calibri"/>
        </w:rPr>
        <w:t xml:space="preserve"> </w:t>
      </w:r>
      <w:proofErr w:type="spellStart"/>
      <w:r w:rsidRPr="00F228F7">
        <w:rPr>
          <w:rFonts w:ascii="Calibri" w:hAnsi="Calibri" w:cs="Calibri"/>
        </w:rPr>
        <w:t>trajectories</w:t>
      </w:r>
      <w:proofErr w:type="spellEnd"/>
      <w:r w:rsidRPr="00F228F7">
        <w:rPr>
          <w:rFonts w:ascii="Calibri" w:hAnsi="Calibri" w:cs="Calibri"/>
        </w:rPr>
        <w:t xml:space="preserve">: A </w:t>
      </w:r>
      <w:proofErr w:type="spellStart"/>
      <w:r w:rsidRPr="00F228F7">
        <w:rPr>
          <w:rFonts w:ascii="Calibri" w:hAnsi="Calibri" w:cs="Calibri"/>
        </w:rPr>
        <w:t>semiparametric</w:t>
      </w:r>
      <w:proofErr w:type="spellEnd"/>
      <w:r w:rsidRPr="00F228F7">
        <w:rPr>
          <w:rFonts w:ascii="Calibri" w:hAnsi="Calibri" w:cs="Calibri"/>
        </w:rPr>
        <w:t>, group-</w:t>
      </w:r>
      <w:proofErr w:type="spellStart"/>
      <w:r w:rsidRPr="00F228F7">
        <w:rPr>
          <w:rFonts w:ascii="Calibri" w:hAnsi="Calibri" w:cs="Calibri"/>
        </w:rPr>
        <w:t>based</w:t>
      </w:r>
      <w:proofErr w:type="spellEnd"/>
      <w:r w:rsidRPr="00F228F7">
        <w:rPr>
          <w:rFonts w:ascii="Calibri" w:hAnsi="Calibri" w:cs="Calibri"/>
        </w:rPr>
        <w:t xml:space="preserve"> </w:t>
      </w:r>
      <w:proofErr w:type="spellStart"/>
      <w:r w:rsidRPr="00F228F7">
        <w:rPr>
          <w:rFonts w:ascii="Calibri" w:hAnsi="Calibri" w:cs="Calibri"/>
        </w:rPr>
        <w:t>approach</w:t>
      </w:r>
      <w:proofErr w:type="spellEnd"/>
      <w:r w:rsidRPr="00F228F7">
        <w:rPr>
          <w:rFonts w:ascii="Calibri" w:hAnsi="Calibri" w:cs="Calibri"/>
        </w:rPr>
        <w:t xml:space="preserve">. </w:t>
      </w:r>
      <w:proofErr w:type="spellStart"/>
      <w:r w:rsidRPr="00F228F7">
        <w:rPr>
          <w:rFonts w:ascii="Calibri" w:hAnsi="Calibri" w:cs="Calibri"/>
          <w:i/>
          <w:iCs/>
        </w:rPr>
        <w:t>Psychological</w:t>
      </w:r>
      <w:proofErr w:type="spellEnd"/>
      <w:r w:rsidRPr="00F228F7">
        <w:rPr>
          <w:rFonts w:ascii="Calibri" w:hAnsi="Calibri" w:cs="Calibri"/>
          <w:i/>
          <w:iCs/>
        </w:rPr>
        <w:t xml:space="preserve"> Methods</w:t>
      </w:r>
      <w:r w:rsidRPr="00F228F7">
        <w:rPr>
          <w:rFonts w:ascii="Calibri" w:hAnsi="Calibri" w:cs="Calibri"/>
        </w:rPr>
        <w:t xml:space="preserve">, </w:t>
      </w:r>
      <w:r w:rsidRPr="00F228F7">
        <w:rPr>
          <w:rFonts w:ascii="Calibri" w:hAnsi="Calibri" w:cs="Calibri"/>
          <w:i/>
          <w:iCs/>
        </w:rPr>
        <w:t>4</w:t>
      </w:r>
      <w:r w:rsidRPr="00F228F7">
        <w:rPr>
          <w:rFonts w:ascii="Calibri" w:hAnsi="Calibri" w:cs="Calibri"/>
        </w:rPr>
        <w:t>(2), 139. https://doi.org/10.1037/1082-989X.4.2.139</w:t>
      </w:r>
    </w:p>
    <w:p w14:paraId="3BFE928C" w14:textId="77777777" w:rsidR="00F228F7" w:rsidRPr="00F228F7" w:rsidRDefault="00F228F7" w:rsidP="00F228F7">
      <w:pPr>
        <w:pStyle w:val="Bibliography"/>
        <w:rPr>
          <w:rFonts w:ascii="Calibri" w:hAnsi="Calibri" w:cs="Calibri"/>
        </w:rPr>
      </w:pPr>
      <w:proofErr w:type="spellStart"/>
      <w:r w:rsidRPr="00F228F7">
        <w:rPr>
          <w:rFonts w:ascii="Calibri" w:hAnsi="Calibri" w:cs="Calibri"/>
        </w:rPr>
        <w:t>Nagin</w:t>
      </w:r>
      <w:proofErr w:type="spellEnd"/>
      <w:r w:rsidRPr="00F228F7">
        <w:rPr>
          <w:rFonts w:ascii="Calibri" w:hAnsi="Calibri" w:cs="Calibri"/>
        </w:rPr>
        <w:t xml:space="preserve">, D. S., &amp; </w:t>
      </w:r>
      <w:proofErr w:type="spellStart"/>
      <w:r w:rsidRPr="00F228F7">
        <w:rPr>
          <w:rFonts w:ascii="Calibri" w:hAnsi="Calibri" w:cs="Calibri"/>
        </w:rPr>
        <w:t>Tremblay</w:t>
      </w:r>
      <w:proofErr w:type="spellEnd"/>
      <w:r w:rsidRPr="00F228F7">
        <w:rPr>
          <w:rFonts w:ascii="Calibri" w:hAnsi="Calibri" w:cs="Calibri"/>
        </w:rPr>
        <w:t xml:space="preserve">, R. E. (2005). </w:t>
      </w:r>
      <w:proofErr w:type="spellStart"/>
      <w:r w:rsidRPr="00F228F7">
        <w:rPr>
          <w:rFonts w:ascii="Calibri" w:hAnsi="Calibri" w:cs="Calibri"/>
        </w:rPr>
        <w:t>What</w:t>
      </w:r>
      <w:proofErr w:type="spellEnd"/>
      <w:r w:rsidRPr="00F228F7">
        <w:rPr>
          <w:rFonts w:ascii="Calibri" w:hAnsi="Calibri" w:cs="Calibri"/>
        </w:rPr>
        <w:t xml:space="preserve"> Has </w:t>
      </w:r>
      <w:proofErr w:type="spellStart"/>
      <w:r w:rsidRPr="00F228F7">
        <w:rPr>
          <w:rFonts w:ascii="Calibri" w:hAnsi="Calibri" w:cs="Calibri"/>
        </w:rPr>
        <w:t>Been</w:t>
      </w:r>
      <w:proofErr w:type="spellEnd"/>
      <w:r w:rsidRPr="00F228F7">
        <w:rPr>
          <w:rFonts w:ascii="Calibri" w:hAnsi="Calibri" w:cs="Calibri"/>
        </w:rPr>
        <w:t xml:space="preserve"> </w:t>
      </w:r>
      <w:proofErr w:type="spellStart"/>
      <w:r w:rsidRPr="00F228F7">
        <w:rPr>
          <w:rFonts w:ascii="Calibri" w:hAnsi="Calibri" w:cs="Calibri"/>
        </w:rPr>
        <w:t>Learned</w:t>
      </w:r>
      <w:proofErr w:type="spellEnd"/>
      <w:r w:rsidRPr="00F228F7">
        <w:rPr>
          <w:rFonts w:ascii="Calibri" w:hAnsi="Calibri" w:cs="Calibri"/>
        </w:rPr>
        <w:t xml:space="preserve"> from Group-</w:t>
      </w:r>
      <w:proofErr w:type="spellStart"/>
      <w:r w:rsidRPr="00F228F7">
        <w:rPr>
          <w:rFonts w:ascii="Calibri" w:hAnsi="Calibri" w:cs="Calibri"/>
        </w:rPr>
        <w:t>Based</w:t>
      </w:r>
      <w:proofErr w:type="spellEnd"/>
      <w:r w:rsidRPr="00F228F7">
        <w:rPr>
          <w:rFonts w:ascii="Calibri" w:hAnsi="Calibri" w:cs="Calibri"/>
        </w:rPr>
        <w:t xml:space="preserve"> </w:t>
      </w:r>
      <w:proofErr w:type="spellStart"/>
      <w:r w:rsidRPr="00F228F7">
        <w:rPr>
          <w:rFonts w:ascii="Calibri" w:hAnsi="Calibri" w:cs="Calibri"/>
        </w:rPr>
        <w:t>Trajectory</w:t>
      </w:r>
      <w:proofErr w:type="spellEnd"/>
      <w:r w:rsidRPr="00F228F7">
        <w:rPr>
          <w:rFonts w:ascii="Calibri" w:hAnsi="Calibri" w:cs="Calibri"/>
        </w:rPr>
        <w:t xml:space="preserve"> </w:t>
      </w:r>
      <w:proofErr w:type="spellStart"/>
      <w:r w:rsidRPr="00F228F7">
        <w:rPr>
          <w:rFonts w:ascii="Calibri" w:hAnsi="Calibri" w:cs="Calibri"/>
        </w:rPr>
        <w:t>Modeling</w:t>
      </w:r>
      <w:proofErr w:type="spellEnd"/>
      <w:r w:rsidRPr="00F228F7">
        <w:rPr>
          <w:rFonts w:ascii="Calibri" w:hAnsi="Calibri" w:cs="Calibri"/>
        </w:rPr>
        <w:t xml:space="preserve">? </w:t>
      </w:r>
      <w:proofErr w:type="spellStart"/>
      <w:r w:rsidRPr="00F228F7">
        <w:rPr>
          <w:rFonts w:ascii="Calibri" w:hAnsi="Calibri" w:cs="Calibri"/>
        </w:rPr>
        <w:t>Examples</w:t>
      </w:r>
      <w:proofErr w:type="spellEnd"/>
      <w:r w:rsidRPr="00F228F7">
        <w:rPr>
          <w:rFonts w:ascii="Calibri" w:hAnsi="Calibri" w:cs="Calibri"/>
        </w:rPr>
        <w:t xml:space="preserve"> from </w:t>
      </w:r>
      <w:proofErr w:type="spellStart"/>
      <w:r w:rsidRPr="00F228F7">
        <w:rPr>
          <w:rFonts w:ascii="Calibri" w:hAnsi="Calibri" w:cs="Calibri"/>
        </w:rPr>
        <w:t>Physical</w:t>
      </w:r>
      <w:proofErr w:type="spellEnd"/>
      <w:r w:rsidRPr="00F228F7">
        <w:rPr>
          <w:rFonts w:ascii="Calibri" w:hAnsi="Calibri" w:cs="Calibri"/>
        </w:rPr>
        <w:t xml:space="preserve"> </w:t>
      </w:r>
      <w:proofErr w:type="spellStart"/>
      <w:r w:rsidRPr="00F228F7">
        <w:rPr>
          <w:rFonts w:ascii="Calibri" w:hAnsi="Calibri" w:cs="Calibri"/>
        </w:rPr>
        <w:t>Aggression</w:t>
      </w:r>
      <w:proofErr w:type="spellEnd"/>
      <w:r w:rsidRPr="00F228F7">
        <w:rPr>
          <w:rFonts w:ascii="Calibri" w:hAnsi="Calibri" w:cs="Calibri"/>
        </w:rPr>
        <w:t xml:space="preserve"> and </w:t>
      </w:r>
      <w:proofErr w:type="spellStart"/>
      <w:r w:rsidRPr="00F228F7">
        <w:rPr>
          <w:rFonts w:ascii="Calibri" w:hAnsi="Calibri" w:cs="Calibri"/>
        </w:rPr>
        <w:t>Other</w:t>
      </w:r>
      <w:proofErr w:type="spellEnd"/>
      <w:r w:rsidRPr="00F228F7">
        <w:rPr>
          <w:rFonts w:ascii="Calibri" w:hAnsi="Calibri" w:cs="Calibri"/>
        </w:rPr>
        <w:t xml:space="preserve"> Problem </w:t>
      </w:r>
      <w:proofErr w:type="spellStart"/>
      <w:r w:rsidRPr="00F228F7">
        <w:rPr>
          <w:rFonts w:ascii="Calibri" w:hAnsi="Calibri" w:cs="Calibri"/>
        </w:rPr>
        <w:t>Behaviors</w:t>
      </w:r>
      <w:proofErr w:type="spellEnd"/>
      <w:r w:rsidRPr="00F228F7">
        <w:rPr>
          <w:rFonts w:ascii="Calibri" w:hAnsi="Calibri" w:cs="Calibri"/>
        </w:rPr>
        <w:t xml:space="preserve">. </w:t>
      </w:r>
      <w:r w:rsidRPr="00F228F7">
        <w:rPr>
          <w:rFonts w:ascii="Calibri" w:hAnsi="Calibri" w:cs="Calibri"/>
          <w:i/>
          <w:iCs/>
        </w:rPr>
        <w:t xml:space="preserve">The ANNALS </w:t>
      </w:r>
      <w:proofErr w:type="spellStart"/>
      <w:r w:rsidRPr="00F228F7">
        <w:rPr>
          <w:rFonts w:ascii="Calibri" w:hAnsi="Calibri" w:cs="Calibri"/>
          <w:i/>
          <w:iCs/>
        </w:rPr>
        <w:t>of</w:t>
      </w:r>
      <w:proofErr w:type="spellEnd"/>
      <w:r w:rsidRPr="00F228F7">
        <w:rPr>
          <w:rFonts w:ascii="Calibri" w:hAnsi="Calibri" w:cs="Calibri"/>
          <w:i/>
          <w:iCs/>
        </w:rPr>
        <w:t xml:space="preserve"> </w:t>
      </w:r>
      <w:proofErr w:type="spellStart"/>
      <w:r w:rsidRPr="00F228F7">
        <w:rPr>
          <w:rFonts w:ascii="Calibri" w:hAnsi="Calibri" w:cs="Calibri"/>
          <w:i/>
          <w:iCs/>
        </w:rPr>
        <w:t>the</w:t>
      </w:r>
      <w:proofErr w:type="spellEnd"/>
      <w:r w:rsidRPr="00F228F7">
        <w:rPr>
          <w:rFonts w:ascii="Calibri" w:hAnsi="Calibri" w:cs="Calibri"/>
          <w:i/>
          <w:iCs/>
        </w:rPr>
        <w:t xml:space="preserve"> American </w:t>
      </w:r>
      <w:proofErr w:type="spellStart"/>
      <w:r w:rsidRPr="00F228F7">
        <w:rPr>
          <w:rFonts w:ascii="Calibri" w:hAnsi="Calibri" w:cs="Calibri"/>
          <w:i/>
          <w:iCs/>
        </w:rPr>
        <w:t>Academy</w:t>
      </w:r>
      <w:proofErr w:type="spellEnd"/>
      <w:r w:rsidRPr="00F228F7">
        <w:rPr>
          <w:rFonts w:ascii="Calibri" w:hAnsi="Calibri" w:cs="Calibri"/>
          <w:i/>
          <w:iCs/>
        </w:rPr>
        <w:t xml:space="preserve"> </w:t>
      </w:r>
      <w:proofErr w:type="spellStart"/>
      <w:r w:rsidRPr="00F228F7">
        <w:rPr>
          <w:rFonts w:ascii="Calibri" w:hAnsi="Calibri" w:cs="Calibri"/>
          <w:i/>
          <w:iCs/>
        </w:rPr>
        <w:t>of</w:t>
      </w:r>
      <w:proofErr w:type="spellEnd"/>
      <w:r w:rsidRPr="00F228F7">
        <w:rPr>
          <w:rFonts w:ascii="Calibri" w:hAnsi="Calibri" w:cs="Calibri"/>
          <w:i/>
          <w:iCs/>
        </w:rPr>
        <w:t xml:space="preserve"> </w:t>
      </w:r>
      <w:proofErr w:type="spellStart"/>
      <w:r w:rsidRPr="00F228F7">
        <w:rPr>
          <w:rFonts w:ascii="Calibri" w:hAnsi="Calibri" w:cs="Calibri"/>
          <w:i/>
          <w:iCs/>
        </w:rPr>
        <w:t>Political</w:t>
      </w:r>
      <w:proofErr w:type="spellEnd"/>
      <w:r w:rsidRPr="00F228F7">
        <w:rPr>
          <w:rFonts w:ascii="Calibri" w:hAnsi="Calibri" w:cs="Calibri"/>
          <w:i/>
          <w:iCs/>
        </w:rPr>
        <w:t xml:space="preserve"> and </w:t>
      </w:r>
      <w:proofErr w:type="spellStart"/>
      <w:r w:rsidRPr="00F228F7">
        <w:rPr>
          <w:rFonts w:ascii="Calibri" w:hAnsi="Calibri" w:cs="Calibri"/>
          <w:i/>
          <w:iCs/>
        </w:rPr>
        <w:t>Social</w:t>
      </w:r>
      <w:proofErr w:type="spellEnd"/>
      <w:r w:rsidRPr="00F228F7">
        <w:rPr>
          <w:rFonts w:ascii="Calibri" w:hAnsi="Calibri" w:cs="Calibri"/>
          <w:i/>
          <w:iCs/>
        </w:rPr>
        <w:t xml:space="preserve"> Science</w:t>
      </w:r>
      <w:r w:rsidRPr="00F228F7">
        <w:rPr>
          <w:rFonts w:ascii="Calibri" w:hAnsi="Calibri" w:cs="Calibri"/>
        </w:rPr>
        <w:t xml:space="preserve">, </w:t>
      </w:r>
      <w:r w:rsidRPr="00F228F7">
        <w:rPr>
          <w:rFonts w:ascii="Calibri" w:hAnsi="Calibri" w:cs="Calibri"/>
          <w:i/>
          <w:iCs/>
        </w:rPr>
        <w:t>602</w:t>
      </w:r>
      <w:r w:rsidRPr="00F228F7">
        <w:rPr>
          <w:rFonts w:ascii="Calibri" w:hAnsi="Calibri" w:cs="Calibri"/>
        </w:rPr>
        <w:t>(1), 82–117. https://doi.org/10.1177/0002716205280565</w:t>
      </w:r>
    </w:p>
    <w:p w14:paraId="3048DAF4" w14:textId="77777777" w:rsidR="00F228F7" w:rsidRPr="00F228F7" w:rsidRDefault="00F228F7" w:rsidP="00F228F7">
      <w:pPr>
        <w:pStyle w:val="Bibliography"/>
        <w:rPr>
          <w:rFonts w:ascii="Calibri" w:hAnsi="Calibri" w:cs="Calibri"/>
        </w:rPr>
      </w:pPr>
      <w:r w:rsidRPr="00F228F7">
        <w:rPr>
          <w:rFonts w:ascii="Calibri" w:hAnsi="Calibri" w:cs="Calibri"/>
        </w:rPr>
        <w:t xml:space="preserve">Nielsen, J. D., Rosenthal, J. S., Sun, Y., Day, D. M., </w:t>
      </w:r>
      <w:proofErr w:type="spellStart"/>
      <w:r w:rsidRPr="00F228F7">
        <w:rPr>
          <w:rFonts w:ascii="Calibri" w:hAnsi="Calibri" w:cs="Calibri"/>
        </w:rPr>
        <w:t>Bevc</w:t>
      </w:r>
      <w:proofErr w:type="spellEnd"/>
      <w:r w:rsidRPr="00F228F7">
        <w:rPr>
          <w:rFonts w:ascii="Calibri" w:hAnsi="Calibri" w:cs="Calibri"/>
        </w:rPr>
        <w:t xml:space="preserve">, I., &amp; </w:t>
      </w:r>
      <w:proofErr w:type="spellStart"/>
      <w:r w:rsidRPr="00F228F7">
        <w:rPr>
          <w:rFonts w:ascii="Calibri" w:hAnsi="Calibri" w:cs="Calibri"/>
        </w:rPr>
        <w:t>Duchesne</w:t>
      </w:r>
      <w:proofErr w:type="spellEnd"/>
      <w:r w:rsidRPr="00F228F7">
        <w:rPr>
          <w:rFonts w:ascii="Calibri" w:hAnsi="Calibri" w:cs="Calibri"/>
        </w:rPr>
        <w:t>, T. (2014). Group-</w:t>
      </w:r>
      <w:proofErr w:type="spellStart"/>
      <w:r w:rsidRPr="00F228F7">
        <w:rPr>
          <w:rFonts w:ascii="Calibri" w:hAnsi="Calibri" w:cs="Calibri"/>
        </w:rPr>
        <w:t>based</w:t>
      </w:r>
      <w:proofErr w:type="spellEnd"/>
      <w:r w:rsidRPr="00F228F7">
        <w:rPr>
          <w:rFonts w:ascii="Calibri" w:hAnsi="Calibri" w:cs="Calibri"/>
        </w:rPr>
        <w:t xml:space="preserve"> </w:t>
      </w:r>
      <w:proofErr w:type="spellStart"/>
      <w:r w:rsidRPr="00F228F7">
        <w:rPr>
          <w:rFonts w:ascii="Calibri" w:hAnsi="Calibri" w:cs="Calibri"/>
        </w:rPr>
        <w:t>Criminal</w:t>
      </w:r>
      <w:proofErr w:type="spellEnd"/>
      <w:r w:rsidRPr="00F228F7">
        <w:rPr>
          <w:rFonts w:ascii="Calibri" w:hAnsi="Calibri" w:cs="Calibri"/>
        </w:rPr>
        <w:t xml:space="preserve"> </w:t>
      </w:r>
      <w:proofErr w:type="spellStart"/>
      <w:r w:rsidRPr="00F228F7">
        <w:rPr>
          <w:rFonts w:ascii="Calibri" w:hAnsi="Calibri" w:cs="Calibri"/>
        </w:rPr>
        <w:t>Trajectory</w:t>
      </w:r>
      <w:proofErr w:type="spellEnd"/>
      <w:r w:rsidRPr="00F228F7">
        <w:rPr>
          <w:rFonts w:ascii="Calibri" w:hAnsi="Calibri" w:cs="Calibri"/>
        </w:rPr>
        <w:t xml:space="preserve"> Analysis Using Cross-</w:t>
      </w:r>
      <w:proofErr w:type="spellStart"/>
      <w:r w:rsidRPr="00F228F7">
        <w:rPr>
          <w:rFonts w:ascii="Calibri" w:hAnsi="Calibri" w:cs="Calibri"/>
        </w:rPr>
        <w:t>validation</w:t>
      </w:r>
      <w:proofErr w:type="spellEnd"/>
      <w:r w:rsidRPr="00F228F7">
        <w:rPr>
          <w:rFonts w:ascii="Calibri" w:hAnsi="Calibri" w:cs="Calibri"/>
        </w:rPr>
        <w:t xml:space="preserve"> </w:t>
      </w:r>
      <w:proofErr w:type="spellStart"/>
      <w:r w:rsidRPr="00F228F7">
        <w:rPr>
          <w:rFonts w:ascii="Calibri" w:hAnsi="Calibri" w:cs="Calibri"/>
        </w:rPr>
        <w:t>Criteria</w:t>
      </w:r>
      <w:proofErr w:type="spellEnd"/>
      <w:r w:rsidRPr="00F228F7">
        <w:rPr>
          <w:rFonts w:ascii="Calibri" w:hAnsi="Calibri" w:cs="Calibri"/>
        </w:rPr>
        <w:t xml:space="preserve">. </w:t>
      </w:r>
      <w:r w:rsidRPr="00F228F7">
        <w:rPr>
          <w:rFonts w:ascii="Calibri" w:hAnsi="Calibri" w:cs="Calibri"/>
          <w:i/>
          <w:iCs/>
        </w:rPr>
        <w:t xml:space="preserve">Communications in </w:t>
      </w:r>
      <w:proofErr w:type="spellStart"/>
      <w:r w:rsidRPr="00F228F7">
        <w:rPr>
          <w:rFonts w:ascii="Calibri" w:hAnsi="Calibri" w:cs="Calibri"/>
          <w:i/>
          <w:iCs/>
        </w:rPr>
        <w:t>Statistics</w:t>
      </w:r>
      <w:proofErr w:type="spellEnd"/>
      <w:r w:rsidRPr="00F228F7">
        <w:rPr>
          <w:rFonts w:ascii="Calibri" w:hAnsi="Calibri" w:cs="Calibri"/>
          <w:i/>
          <w:iCs/>
        </w:rPr>
        <w:t xml:space="preserve"> - </w:t>
      </w:r>
      <w:proofErr w:type="spellStart"/>
      <w:r w:rsidRPr="00F228F7">
        <w:rPr>
          <w:rFonts w:ascii="Calibri" w:hAnsi="Calibri" w:cs="Calibri"/>
          <w:i/>
          <w:iCs/>
        </w:rPr>
        <w:t>Theory</w:t>
      </w:r>
      <w:proofErr w:type="spellEnd"/>
      <w:r w:rsidRPr="00F228F7">
        <w:rPr>
          <w:rFonts w:ascii="Calibri" w:hAnsi="Calibri" w:cs="Calibri"/>
          <w:i/>
          <w:iCs/>
        </w:rPr>
        <w:t xml:space="preserve"> and Methods</w:t>
      </w:r>
      <w:r w:rsidRPr="00F228F7">
        <w:rPr>
          <w:rFonts w:ascii="Calibri" w:hAnsi="Calibri" w:cs="Calibri"/>
        </w:rPr>
        <w:t xml:space="preserve">, </w:t>
      </w:r>
      <w:r w:rsidRPr="00F228F7">
        <w:rPr>
          <w:rFonts w:ascii="Calibri" w:hAnsi="Calibri" w:cs="Calibri"/>
          <w:i/>
          <w:iCs/>
        </w:rPr>
        <w:t>43</w:t>
      </w:r>
      <w:r w:rsidRPr="00F228F7">
        <w:rPr>
          <w:rFonts w:ascii="Calibri" w:hAnsi="Calibri" w:cs="Calibri"/>
        </w:rPr>
        <w:t>(20), 4337–4356. https://doi.org/10.1080/03610926.2012.719986</w:t>
      </w:r>
    </w:p>
    <w:p w14:paraId="7604912A" w14:textId="77777777" w:rsidR="00F228F7" w:rsidRPr="00F228F7" w:rsidRDefault="00F228F7" w:rsidP="00F228F7">
      <w:pPr>
        <w:pStyle w:val="Bibliography"/>
        <w:rPr>
          <w:rFonts w:ascii="Calibri" w:hAnsi="Calibri" w:cs="Calibri"/>
        </w:rPr>
      </w:pPr>
      <w:proofErr w:type="spellStart"/>
      <w:r w:rsidRPr="00F228F7">
        <w:rPr>
          <w:rFonts w:ascii="Calibri" w:hAnsi="Calibri" w:cs="Calibri"/>
        </w:rPr>
        <w:t>Niyonkuru</w:t>
      </w:r>
      <w:proofErr w:type="spellEnd"/>
      <w:r w:rsidRPr="00F228F7">
        <w:rPr>
          <w:rFonts w:ascii="Calibri" w:hAnsi="Calibri" w:cs="Calibri"/>
        </w:rPr>
        <w:t xml:space="preserve">, C., Wagner, A. K., </w:t>
      </w:r>
      <w:proofErr w:type="spellStart"/>
      <w:r w:rsidRPr="00F228F7">
        <w:rPr>
          <w:rFonts w:ascii="Calibri" w:hAnsi="Calibri" w:cs="Calibri"/>
        </w:rPr>
        <w:t>Ozawa</w:t>
      </w:r>
      <w:proofErr w:type="spellEnd"/>
      <w:r w:rsidRPr="00F228F7">
        <w:rPr>
          <w:rFonts w:ascii="Calibri" w:hAnsi="Calibri" w:cs="Calibri"/>
        </w:rPr>
        <w:t xml:space="preserve">, H., Amin, K., </w:t>
      </w:r>
      <w:proofErr w:type="spellStart"/>
      <w:r w:rsidRPr="00F228F7">
        <w:rPr>
          <w:rFonts w:ascii="Calibri" w:hAnsi="Calibri" w:cs="Calibri"/>
        </w:rPr>
        <w:t>Goyal</w:t>
      </w:r>
      <w:proofErr w:type="spellEnd"/>
      <w:r w:rsidRPr="00F228F7">
        <w:rPr>
          <w:rFonts w:ascii="Calibri" w:hAnsi="Calibri" w:cs="Calibri"/>
        </w:rPr>
        <w:t>, A., &amp; Fabio, A. (2013). Group-</w:t>
      </w:r>
      <w:proofErr w:type="spellStart"/>
      <w:r w:rsidRPr="00F228F7">
        <w:rPr>
          <w:rFonts w:ascii="Calibri" w:hAnsi="Calibri" w:cs="Calibri"/>
        </w:rPr>
        <w:t>Based</w:t>
      </w:r>
      <w:proofErr w:type="spellEnd"/>
      <w:r w:rsidRPr="00F228F7">
        <w:rPr>
          <w:rFonts w:ascii="Calibri" w:hAnsi="Calibri" w:cs="Calibri"/>
        </w:rPr>
        <w:t xml:space="preserve"> </w:t>
      </w:r>
      <w:proofErr w:type="spellStart"/>
      <w:r w:rsidRPr="00F228F7">
        <w:rPr>
          <w:rFonts w:ascii="Calibri" w:hAnsi="Calibri" w:cs="Calibri"/>
        </w:rPr>
        <w:t>Trajectory</w:t>
      </w:r>
      <w:proofErr w:type="spellEnd"/>
      <w:r w:rsidRPr="00F228F7">
        <w:rPr>
          <w:rFonts w:ascii="Calibri" w:hAnsi="Calibri" w:cs="Calibri"/>
        </w:rPr>
        <w:t xml:space="preserve"> Analysis Applications for </w:t>
      </w:r>
      <w:proofErr w:type="spellStart"/>
      <w:r w:rsidRPr="00F228F7">
        <w:rPr>
          <w:rFonts w:ascii="Calibri" w:hAnsi="Calibri" w:cs="Calibri"/>
        </w:rPr>
        <w:t>Prognostic</w:t>
      </w:r>
      <w:proofErr w:type="spellEnd"/>
      <w:r w:rsidRPr="00F228F7">
        <w:rPr>
          <w:rFonts w:ascii="Calibri" w:hAnsi="Calibri" w:cs="Calibri"/>
        </w:rPr>
        <w:t xml:space="preserve"> </w:t>
      </w:r>
      <w:proofErr w:type="spellStart"/>
      <w:r w:rsidRPr="00F228F7">
        <w:rPr>
          <w:rFonts w:ascii="Calibri" w:hAnsi="Calibri" w:cs="Calibri"/>
        </w:rPr>
        <w:t>Biomarker</w:t>
      </w:r>
      <w:proofErr w:type="spellEnd"/>
      <w:r w:rsidRPr="00F228F7">
        <w:rPr>
          <w:rFonts w:ascii="Calibri" w:hAnsi="Calibri" w:cs="Calibri"/>
        </w:rPr>
        <w:t xml:space="preserve"> Model Development in Severe TBI: A </w:t>
      </w:r>
      <w:proofErr w:type="spellStart"/>
      <w:r w:rsidRPr="00F228F7">
        <w:rPr>
          <w:rFonts w:ascii="Calibri" w:hAnsi="Calibri" w:cs="Calibri"/>
        </w:rPr>
        <w:t>Practical</w:t>
      </w:r>
      <w:proofErr w:type="spellEnd"/>
      <w:r w:rsidRPr="00F228F7">
        <w:rPr>
          <w:rFonts w:ascii="Calibri" w:hAnsi="Calibri" w:cs="Calibri"/>
        </w:rPr>
        <w:t xml:space="preserve"> </w:t>
      </w:r>
      <w:proofErr w:type="spellStart"/>
      <w:r w:rsidRPr="00F228F7">
        <w:rPr>
          <w:rFonts w:ascii="Calibri" w:hAnsi="Calibri" w:cs="Calibri"/>
        </w:rPr>
        <w:t>Example</w:t>
      </w:r>
      <w:proofErr w:type="spellEnd"/>
      <w:r w:rsidRPr="00F228F7">
        <w:rPr>
          <w:rFonts w:ascii="Calibri" w:hAnsi="Calibri" w:cs="Calibri"/>
        </w:rPr>
        <w:t xml:space="preserve">. </w:t>
      </w:r>
      <w:r w:rsidRPr="00F228F7">
        <w:rPr>
          <w:rFonts w:ascii="Calibri" w:hAnsi="Calibri" w:cs="Calibri"/>
          <w:i/>
          <w:iCs/>
        </w:rPr>
        <w:t xml:space="preserve">Journal </w:t>
      </w:r>
      <w:proofErr w:type="spellStart"/>
      <w:r w:rsidRPr="00F228F7">
        <w:rPr>
          <w:rFonts w:ascii="Calibri" w:hAnsi="Calibri" w:cs="Calibri"/>
          <w:i/>
          <w:iCs/>
        </w:rPr>
        <w:t>of</w:t>
      </w:r>
      <w:proofErr w:type="spellEnd"/>
      <w:r w:rsidRPr="00F228F7">
        <w:rPr>
          <w:rFonts w:ascii="Calibri" w:hAnsi="Calibri" w:cs="Calibri"/>
          <w:i/>
          <w:iCs/>
        </w:rPr>
        <w:t xml:space="preserve"> Neurotrauma</w:t>
      </w:r>
      <w:r w:rsidRPr="00F228F7">
        <w:rPr>
          <w:rFonts w:ascii="Calibri" w:hAnsi="Calibri" w:cs="Calibri"/>
        </w:rPr>
        <w:t xml:space="preserve">, </w:t>
      </w:r>
      <w:r w:rsidRPr="00F228F7">
        <w:rPr>
          <w:rFonts w:ascii="Calibri" w:hAnsi="Calibri" w:cs="Calibri"/>
          <w:i/>
          <w:iCs/>
        </w:rPr>
        <w:t>30</w:t>
      </w:r>
      <w:r w:rsidRPr="00F228F7">
        <w:rPr>
          <w:rFonts w:ascii="Calibri" w:hAnsi="Calibri" w:cs="Calibri"/>
        </w:rPr>
        <w:t>(11), 938–945. https://doi.org/10.1089/neu.2012.2578</w:t>
      </w:r>
    </w:p>
    <w:p w14:paraId="2841DFE3" w14:textId="77777777" w:rsidR="00F228F7" w:rsidRPr="00F228F7" w:rsidRDefault="00F228F7" w:rsidP="00F228F7">
      <w:pPr>
        <w:pStyle w:val="Bibliography"/>
        <w:rPr>
          <w:rFonts w:ascii="Calibri" w:hAnsi="Calibri" w:cs="Calibri"/>
        </w:rPr>
      </w:pPr>
      <w:proofErr w:type="spellStart"/>
      <w:r w:rsidRPr="00F228F7">
        <w:rPr>
          <w:rFonts w:ascii="Calibri" w:hAnsi="Calibri" w:cs="Calibri"/>
        </w:rPr>
        <w:t>Sweeten</w:t>
      </w:r>
      <w:proofErr w:type="spellEnd"/>
      <w:r w:rsidRPr="00F228F7">
        <w:rPr>
          <w:rFonts w:ascii="Calibri" w:hAnsi="Calibri" w:cs="Calibri"/>
        </w:rPr>
        <w:t>, G. (2014). Group-</w:t>
      </w:r>
      <w:proofErr w:type="spellStart"/>
      <w:r w:rsidRPr="00F228F7">
        <w:rPr>
          <w:rFonts w:ascii="Calibri" w:hAnsi="Calibri" w:cs="Calibri"/>
        </w:rPr>
        <w:t>Based</w:t>
      </w:r>
      <w:proofErr w:type="spellEnd"/>
      <w:r w:rsidRPr="00F228F7">
        <w:rPr>
          <w:rFonts w:ascii="Calibri" w:hAnsi="Calibri" w:cs="Calibri"/>
        </w:rPr>
        <w:t xml:space="preserve"> </w:t>
      </w:r>
      <w:proofErr w:type="spellStart"/>
      <w:r w:rsidRPr="00F228F7">
        <w:rPr>
          <w:rFonts w:ascii="Calibri" w:hAnsi="Calibri" w:cs="Calibri"/>
        </w:rPr>
        <w:t>Trajectory</w:t>
      </w:r>
      <w:proofErr w:type="spellEnd"/>
      <w:r w:rsidRPr="00F228F7">
        <w:rPr>
          <w:rFonts w:ascii="Calibri" w:hAnsi="Calibri" w:cs="Calibri"/>
        </w:rPr>
        <w:t xml:space="preserve"> Models. In G. </w:t>
      </w:r>
      <w:proofErr w:type="spellStart"/>
      <w:r w:rsidRPr="00F228F7">
        <w:rPr>
          <w:rFonts w:ascii="Calibri" w:hAnsi="Calibri" w:cs="Calibri"/>
        </w:rPr>
        <w:t>Bruinsma</w:t>
      </w:r>
      <w:proofErr w:type="spellEnd"/>
      <w:r w:rsidRPr="00F228F7">
        <w:rPr>
          <w:rFonts w:ascii="Calibri" w:hAnsi="Calibri" w:cs="Calibri"/>
        </w:rPr>
        <w:t xml:space="preserve"> &amp; D. </w:t>
      </w:r>
      <w:proofErr w:type="spellStart"/>
      <w:r w:rsidRPr="00F228F7">
        <w:rPr>
          <w:rFonts w:ascii="Calibri" w:hAnsi="Calibri" w:cs="Calibri"/>
        </w:rPr>
        <w:t>Weisburd</w:t>
      </w:r>
      <w:proofErr w:type="spellEnd"/>
      <w:r w:rsidRPr="00F228F7">
        <w:rPr>
          <w:rFonts w:ascii="Calibri" w:hAnsi="Calibri" w:cs="Calibri"/>
        </w:rPr>
        <w:t xml:space="preserve"> (Eds.), </w:t>
      </w:r>
      <w:r w:rsidRPr="00F228F7">
        <w:rPr>
          <w:rFonts w:ascii="Calibri" w:hAnsi="Calibri" w:cs="Calibri"/>
          <w:i/>
          <w:iCs/>
        </w:rPr>
        <w:t xml:space="preserve">Encyclopedia </w:t>
      </w:r>
      <w:proofErr w:type="spellStart"/>
      <w:r w:rsidRPr="00F228F7">
        <w:rPr>
          <w:rFonts w:ascii="Calibri" w:hAnsi="Calibri" w:cs="Calibri"/>
          <w:i/>
          <w:iCs/>
        </w:rPr>
        <w:t>of</w:t>
      </w:r>
      <w:proofErr w:type="spellEnd"/>
      <w:r w:rsidRPr="00F228F7">
        <w:rPr>
          <w:rFonts w:ascii="Calibri" w:hAnsi="Calibri" w:cs="Calibri"/>
          <w:i/>
          <w:iCs/>
        </w:rPr>
        <w:t xml:space="preserve"> </w:t>
      </w:r>
      <w:proofErr w:type="spellStart"/>
      <w:r w:rsidRPr="00F228F7">
        <w:rPr>
          <w:rFonts w:ascii="Calibri" w:hAnsi="Calibri" w:cs="Calibri"/>
          <w:i/>
          <w:iCs/>
        </w:rPr>
        <w:t>Criminology</w:t>
      </w:r>
      <w:proofErr w:type="spellEnd"/>
      <w:r w:rsidRPr="00F228F7">
        <w:rPr>
          <w:rFonts w:ascii="Calibri" w:hAnsi="Calibri" w:cs="Calibri"/>
          <w:i/>
          <w:iCs/>
        </w:rPr>
        <w:t xml:space="preserve"> and </w:t>
      </w:r>
      <w:proofErr w:type="spellStart"/>
      <w:r w:rsidRPr="00F228F7">
        <w:rPr>
          <w:rFonts w:ascii="Calibri" w:hAnsi="Calibri" w:cs="Calibri"/>
          <w:i/>
          <w:iCs/>
        </w:rPr>
        <w:t>Criminal</w:t>
      </w:r>
      <w:proofErr w:type="spellEnd"/>
      <w:r w:rsidRPr="00F228F7">
        <w:rPr>
          <w:rFonts w:ascii="Calibri" w:hAnsi="Calibri" w:cs="Calibri"/>
          <w:i/>
          <w:iCs/>
        </w:rPr>
        <w:t xml:space="preserve"> </w:t>
      </w:r>
      <w:proofErr w:type="spellStart"/>
      <w:r w:rsidRPr="00F228F7">
        <w:rPr>
          <w:rFonts w:ascii="Calibri" w:hAnsi="Calibri" w:cs="Calibri"/>
          <w:i/>
          <w:iCs/>
        </w:rPr>
        <w:t>Justice</w:t>
      </w:r>
      <w:proofErr w:type="spellEnd"/>
      <w:r w:rsidRPr="00F228F7">
        <w:rPr>
          <w:rFonts w:ascii="Calibri" w:hAnsi="Calibri" w:cs="Calibri"/>
        </w:rPr>
        <w:t xml:space="preserve"> (</w:t>
      </w:r>
      <w:proofErr w:type="spellStart"/>
      <w:r w:rsidRPr="00F228F7">
        <w:rPr>
          <w:rFonts w:ascii="Calibri" w:hAnsi="Calibri" w:cs="Calibri"/>
        </w:rPr>
        <w:t>pp</w:t>
      </w:r>
      <w:proofErr w:type="spellEnd"/>
      <w:r w:rsidRPr="00F228F7">
        <w:rPr>
          <w:rFonts w:ascii="Calibri" w:hAnsi="Calibri" w:cs="Calibri"/>
        </w:rPr>
        <w:t>. 1991–2003). https://doi.org/10.1007/978-1-4614-5690-2_479</w:t>
      </w:r>
    </w:p>
    <w:p w14:paraId="0236C309" w14:textId="77777777" w:rsidR="00F228F7" w:rsidRPr="00F228F7" w:rsidRDefault="00F228F7" w:rsidP="00F228F7">
      <w:pPr>
        <w:pStyle w:val="Bibliography"/>
        <w:rPr>
          <w:rFonts w:ascii="Calibri" w:hAnsi="Calibri" w:cs="Calibri"/>
        </w:rPr>
      </w:pPr>
      <w:r w:rsidRPr="00F228F7">
        <w:rPr>
          <w:rFonts w:ascii="Calibri" w:hAnsi="Calibri" w:cs="Calibri"/>
        </w:rPr>
        <w:t xml:space="preserve">Wheeler, A. P., </w:t>
      </w:r>
      <w:proofErr w:type="spellStart"/>
      <w:r w:rsidRPr="00F228F7">
        <w:rPr>
          <w:rFonts w:ascii="Calibri" w:hAnsi="Calibri" w:cs="Calibri"/>
        </w:rPr>
        <w:t>Worden</w:t>
      </w:r>
      <w:proofErr w:type="spellEnd"/>
      <w:r w:rsidRPr="00F228F7">
        <w:rPr>
          <w:rFonts w:ascii="Calibri" w:hAnsi="Calibri" w:cs="Calibri"/>
        </w:rPr>
        <w:t xml:space="preserve">, R. E., &amp; McLean, S. J. (2016). </w:t>
      </w:r>
      <w:proofErr w:type="spellStart"/>
      <w:r w:rsidRPr="00F228F7">
        <w:rPr>
          <w:rFonts w:ascii="Calibri" w:hAnsi="Calibri" w:cs="Calibri"/>
        </w:rPr>
        <w:t>Replicating</w:t>
      </w:r>
      <w:proofErr w:type="spellEnd"/>
      <w:r w:rsidRPr="00F228F7">
        <w:rPr>
          <w:rFonts w:ascii="Calibri" w:hAnsi="Calibri" w:cs="Calibri"/>
        </w:rPr>
        <w:t xml:space="preserve"> Group-</w:t>
      </w:r>
      <w:proofErr w:type="spellStart"/>
      <w:r w:rsidRPr="00F228F7">
        <w:rPr>
          <w:rFonts w:ascii="Calibri" w:hAnsi="Calibri" w:cs="Calibri"/>
        </w:rPr>
        <w:t>Based</w:t>
      </w:r>
      <w:proofErr w:type="spellEnd"/>
      <w:r w:rsidRPr="00F228F7">
        <w:rPr>
          <w:rFonts w:ascii="Calibri" w:hAnsi="Calibri" w:cs="Calibri"/>
        </w:rPr>
        <w:t xml:space="preserve"> </w:t>
      </w:r>
      <w:proofErr w:type="spellStart"/>
      <w:r w:rsidRPr="00F228F7">
        <w:rPr>
          <w:rFonts w:ascii="Calibri" w:hAnsi="Calibri" w:cs="Calibri"/>
        </w:rPr>
        <w:t>Trajectory</w:t>
      </w:r>
      <w:proofErr w:type="spellEnd"/>
      <w:r w:rsidRPr="00F228F7">
        <w:rPr>
          <w:rFonts w:ascii="Calibri" w:hAnsi="Calibri" w:cs="Calibri"/>
        </w:rPr>
        <w:t xml:space="preserve"> Models </w:t>
      </w:r>
      <w:proofErr w:type="spellStart"/>
      <w:r w:rsidRPr="00F228F7">
        <w:rPr>
          <w:rFonts w:ascii="Calibri" w:hAnsi="Calibri" w:cs="Calibri"/>
        </w:rPr>
        <w:t>of</w:t>
      </w:r>
      <w:proofErr w:type="spellEnd"/>
      <w:r w:rsidRPr="00F228F7">
        <w:rPr>
          <w:rFonts w:ascii="Calibri" w:hAnsi="Calibri" w:cs="Calibri"/>
        </w:rPr>
        <w:t xml:space="preserve"> </w:t>
      </w:r>
      <w:proofErr w:type="spellStart"/>
      <w:r w:rsidRPr="00F228F7">
        <w:rPr>
          <w:rFonts w:ascii="Calibri" w:hAnsi="Calibri" w:cs="Calibri"/>
        </w:rPr>
        <w:t>Crime</w:t>
      </w:r>
      <w:proofErr w:type="spellEnd"/>
      <w:r w:rsidRPr="00F228F7">
        <w:rPr>
          <w:rFonts w:ascii="Calibri" w:hAnsi="Calibri" w:cs="Calibri"/>
        </w:rPr>
        <w:t xml:space="preserve"> at Micro-Places in Albany, NY. </w:t>
      </w:r>
      <w:r w:rsidRPr="00F228F7">
        <w:rPr>
          <w:rFonts w:ascii="Calibri" w:hAnsi="Calibri" w:cs="Calibri"/>
          <w:i/>
          <w:iCs/>
        </w:rPr>
        <w:t xml:space="preserve">Journal </w:t>
      </w:r>
      <w:proofErr w:type="spellStart"/>
      <w:r w:rsidRPr="00F228F7">
        <w:rPr>
          <w:rFonts w:ascii="Calibri" w:hAnsi="Calibri" w:cs="Calibri"/>
          <w:i/>
          <w:iCs/>
        </w:rPr>
        <w:t>of</w:t>
      </w:r>
      <w:proofErr w:type="spellEnd"/>
      <w:r w:rsidRPr="00F228F7">
        <w:rPr>
          <w:rFonts w:ascii="Calibri" w:hAnsi="Calibri" w:cs="Calibri"/>
          <w:i/>
          <w:iCs/>
        </w:rPr>
        <w:t xml:space="preserve"> </w:t>
      </w:r>
      <w:proofErr w:type="spellStart"/>
      <w:r w:rsidRPr="00F228F7">
        <w:rPr>
          <w:rFonts w:ascii="Calibri" w:hAnsi="Calibri" w:cs="Calibri"/>
          <w:i/>
          <w:iCs/>
        </w:rPr>
        <w:t>Quantitative</w:t>
      </w:r>
      <w:proofErr w:type="spellEnd"/>
      <w:r w:rsidRPr="00F228F7">
        <w:rPr>
          <w:rFonts w:ascii="Calibri" w:hAnsi="Calibri" w:cs="Calibri"/>
          <w:i/>
          <w:iCs/>
        </w:rPr>
        <w:t xml:space="preserve"> </w:t>
      </w:r>
      <w:proofErr w:type="spellStart"/>
      <w:r w:rsidRPr="00F228F7">
        <w:rPr>
          <w:rFonts w:ascii="Calibri" w:hAnsi="Calibri" w:cs="Calibri"/>
          <w:i/>
          <w:iCs/>
        </w:rPr>
        <w:t>Criminology</w:t>
      </w:r>
      <w:proofErr w:type="spellEnd"/>
      <w:r w:rsidRPr="00F228F7">
        <w:rPr>
          <w:rFonts w:ascii="Calibri" w:hAnsi="Calibri" w:cs="Calibri"/>
        </w:rPr>
        <w:t xml:space="preserve">, </w:t>
      </w:r>
      <w:r w:rsidRPr="00F228F7">
        <w:rPr>
          <w:rFonts w:ascii="Calibri" w:hAnsi="Calibri" w:cs="Calibri"/>
          <w:i/>
          <w:iCs/>
        </w:rPr>
        <w:t>32</w:t>
      </w:r>
      <w:r w:rsidRPr="00F228F7">
        <w:rPr>
          <w:rFonts w:ascii="Calibri" w:hAnsi="Calibri" w:cs="Calibri"/>
        </w:rPr>
        <w:t>(4), 589–612. https://doi.org/10.1007/s10940-015-9268-3</w:t>
      </w:r>
    </w:p>
    <w:p w14:paraId="413D752F" w14:textId="2F54ED4B" w:rsidR="00B32631" w:rsidRPr="00B32631" w:rsidRDefault="00F228F7" w:rsidP="00C4031C">
      <w:pPr>
        <w:jc w:val="both"/>
        <w:rPr>
          <w:b/>
          <w:lang w:val="en-US"/>
        </w:rPr>
      </w:pPr>
      <w:r>
        <w:rPr>
          <w:b/>
          <w:lang w:val="en-US"/>
        </w:rPr>
        <w:fldChar w:fldCharType="end"/>
      </w:r>
    </w:p>
    <w:sectPr w:rsidR="00B32631" w:rsidRPr="00B326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DFE12" w14:textId="77777777" w:rsidR="00302D42" w:rsidRDefault="00302D42" w:rsidP="00E233DA">
      <w:pPr>
        <w:spacing w:after="0" w:line="240" w:lineRule="auto"/>
      </w:pPr>
      <w:r>
        <w:separator/>
      </w:r>
    </w:p>
  </w:endnote>
  <w:endnote w:type="continuationSeparator" w:id="0">
    <w:p w14:paraId="0EBF927F" w14:textId="77777777" w:rsidR="00302D42" w:rsidRDefault="00302D42" w:rsidP="00E23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85B85" w14:textId="77777777" w:rsidR="00302D42" w:rsidRDefault="00302D42" w:rsidP="00E233DA">
      <w:pPr>
        <w:spacing w:after="0" w:line="240" w:lineRule="auto"/>
      </w:pPr>
      <w:r>
        <w:separator/>
      </w:r>
    </w:p>
  </w:footnote>
  <w:footnote w:type="continuationSeparator" w:id="0">
    <w:p w14:paraId="74384ECE" w14:textId="77777777" w:rsidR="00302D42" w:rsidRDefault="00302D42" w:rsidP="00E233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wMDQ3MzMws7S0NDBX0lEKTi0uzszPAykwqgUAJ0EZ9SwAAAA="/>
  </w:docVars>
  <w:rsids>
    <w:rsidRoot w:val="00654191"/>
    <w:rsid w:val="00051E6E"/>
    <w:rsid w:val="00136741"/>
    <w:rsid w:val="00220B3F"/>
    <w:rsid w:val="00222BA1"/>
    <w:rsid w:val="002566D2"/>
    <w:rsid w:val="002765C6"/>
    <w:rsid w:val="00302D42"/>
    <w:rsid w:val="003A2E56"/>
    <w:rsid w:val="003B56D7"/>
    <w:rsid w:val="004218E9"/>
    <w:rsid w:val="004412E5"/>
    <w:rsid w:val="0048213D"/>
    <w:rsid w:val="00507426"/>
    <w:rsid w:val="00560BCE"/>
    <w:rsid w:val="00615393"/>
    <w:rsid w:val="00654191"/>
    <w:rsid w:val="006932B8"/>
    <w:rsid w:val="006C14FF"/>
    <w:rsid w:val="007D1640"/>
    <w:rsid w:val="007D764D"/>
    <w:rsid w:val="008548D6"/>
    <w:rsid w:val="008D4F34"/>
    <w:rsid w:val="009948F1"/>
    <w:rsid w:val="00AA4729"/>
    <w:rsid w:val="00B32631"/>
    <w:rsid w:val="00B51B2E"/>
    <w:rsid w:val="00B849A5"/>
    <w:rsid w:val="00BA12C6"/>
    <w:rsid w:val="00BD3638"/>
    <w:rsid w:val="00C30B55"/>
    <w:rsid w:val="00C4031C"/>
    <w:rsid w:val="00C76898"/>
    <w:rsid w:val="00C964F4"/>
    <w:rsid w:val="00CA039C"/>
    <w:rsid w:val="00D93F69"/>
    <w:rsid w:val="00E233DA"/>
    <w:rsid w:val="00F228F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5F6B7"/>
  <w15:chartTrackingRefBased/>
  <w15:docId w15:val="{F28FBAA4-7B83-462C-A0FA-BF0152B8A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53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5393"/>
    <w:rPr>
      <w:rFonts w:ascii="Segoe UI" w:hAnsi="Segoe UI" w:cs="Segoe UI"/>
      <w:sz w:val="18"/>
      <w:szCs w:val="18"/>
    </w:rPr>
  </w:style>
  <w:style w:type="paragraph" w:styleId="FootnoteText">
    <w:name w:val="footnote text"/>
    <w:basedOn w:val="Normal"/>
    <w:link w:val="FootnoteTextChar"/>
    <w:uiPriority w:val="99"/>
    <w:semiHidden/>
    <w:unhideWhenUsed/>
    <w:rsid w:val="00E233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33DA"/>
    <w:rPr>
      <w:sz w:val="20"/>
      <w:szCs w:val="20"/>
    </w:rPr>
  </w:style>
  <w:style w:type="character" w:styleId="FootnoteReference">
    <w:name w:val="footnote reference"/>
    <w:basedOn w:val="DefaultParagraphFont"/>
    <w:uiPriority w:val="99"/>
    <w:semiHidden/>
    <w:unhideWhenUsed/>
    <w:rsid w:val="00E233DA"/>
    <w:rPr>
      <w:vertAlign w:val="superscript"/>
    </w:rPr>
  </w:style>
  <w:style w:type="table" w:styleId="TableGrid">
    <w:name w:val="Table Grid"/>
    <w:basedOn w:val="TableNormal"/>
    <w:uiPriority w:val="39"/>
    <w:rsid w:val="00B32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228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907126">
      <w:bodyDiv w:val="1"/>
      <w:marLeft w:val="0"/>
      <w:marRight w:val="0"/>
      <w:marTop w:val="0"/>
      <w:marBottom w:val="0"/>
      <w:divBdr>
        <w:top w:val="none" w:sz="0" w:space="0" w:color="auto"/>
        <w:left w:val="none" w:sz="0" w:space="0" w:color="auto"/>
        <w:bottom w:val="none" w:sz="0" w:space="0" w:color="auto"/>
        <w:right w:val="none" w:sz="0" w:space="0" w:color="auto"/>
      </w:divBdr>
    </w:div>
    <w:div w:id="532498474">
      <w:bodyDiv w:val="1"/>
      <w:marLeft w:val="0"/>
      <w:marRight w:val="0"/>
      <w:marTop w:val="0"/>
      <w:marBottom w:val="0"/>
      <w:divBdr>
        <w:top w:val="none" w:sz="0" w:space="0" w:color="auto"/>
        <w:left w:val="none" w:sz="0" w:space="0" w:color="auto"/>
        <w:bottom w:val="none" w:sz="0" w:space="0" w:color="auto"/>
        <w:right w:val="none" w:sz="0" w:space="0" w:color="auto"/>
      </w:divBdr>
    </w:div>
    <w:div w:id="1349597018">
      <w:bodyDiv w:val="1"/>
      <w:marLeft w:val="0"/>
      <w:marRight w:val="0"/>
      <w:marTop w:val="0"/>
      <w:marBottom w:val="0"/>
      <w:divBdr>
        <w:top w:val="none" w:sz="0" w:space="0" w:color="auto"/>
        <w:left w:val="none" w:sz="0" w:space="0" w:color="auto"/>
        <w:bottom w:val="none" w:sz="0" w:space="0" w:color="auto"/>
        <w:right w:val="none" w:sz="0" w:space="0" w:color="auto"/>
      </w:divBdr>
    </w:div>
    <w:div w:id="1787506893">
      <w:bodyDiv w:val="1"/>
      <w:marLeft w:val="0"/>
      <w:marRight w:val="0"/>
      <w:marTop w:val="0"/>
      <w:marBottom w:val="0"/>
      <w:divBdr>
        <w:top w:val="none" w:sz="0" w:space="0" w:color="auto"/>
        <w:left w:val="none" w:sz="0" w:space="0" w:color="auto"/>
        <w:bottom w:val="none" w:sz="0" w:space="0" w:color="auto"/>
        <w:right w:val="none" w:sz="0" w:space="0" w:color="auto"/>
      </w:divBdr>
    </w:div>
    <w:div w:id="1804617200">
      <w:bodyDiv w:val="1"/>
      <w:marLeft w:val="0"/>
      <w:marRight w:val="0"/>
      <w:marTop w:val="0"/>
      <w:marBottom w:val="0"/>
      <w:divBdr>
        <w:top w:val="none" w:sz="0" w:space="0" w:color="auto"/>
        <w:left w:val="none" w:sz="0" w:space="0" w:color="auto"/>
        <w:bottom w:val="none" w:sz="0" w:space="0" w:color="auto"/>
        <w:right w:val="none" w:sz="0" w:space="0" w:color="auto"/>
      </w:divBdr>
    </w:div>
    <w:div w:id="2017031164">
      <w:bodyDiv w:val="1"/>
      <w:marLeft w:val="0"/>
      <w:marRight w:val="0"/>
      <w:marTop w:val="0"/>
      <w:marBottom w:val="0"/>
      <w:divBdr>
        <w:top w:val="none" w:sz="0" w:space="0" w:color="auto"/>
        <w:left w:val="none" w:sz="0" w:space="0" w:color="auto"/>
        <w:bottom w:val="none" w:sz="0" w:space="0" w:color="auto"/>
        <w:right w:val="none" w:sz="0" w:space="0" w:color="auto"/>
      </w:divBdr>
    </w:div>
    <w:div w:id="2026714490">
      <w:bodyDiv w:val="1"/>
      <w:marLeft w:val="0"/>
      <w:marRight w:val="0"/>
      <w:marTop w:val="0"/>
      <w:marBottom w:val="0"/>
      <w:divBdr>
        <w:top w:val="none" w:sz="0" w:space="0" w:color="auto"/>
        <w:left w:val="none" w:sz="0" w:space="0" w:color="auto"/>
        <w:bottom w:val="none" w:sz="0" w:space="0" w:color="auto"/>
        <w:right w:val="none" w:sz="0" w:space="0" w:color="auto"/>
      </w:divBdr>
    </w:div>
    <w:div w:id="205134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BA57C-E6FE-4F23-8615-77E3ED8D4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3060</Words>
  <Characters>17442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Furkan Özdemir</dc:creator>
  <cp:keywords/>
  <dc:description/>
  <cp:lastModifiedBy>Sina Furkan Özdemir</cp:lastModifiedBy>
  <cp:revision>6</cp:revision>
  <dcterms:created xsi:type="dcterms:W3CDTF">2019-10-28T16:42:00Z</dcterms:created>
  <dcterms:modified xsi:type="dcterms:W3CDTF">2019-11-01T15:52:00Z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id="yeX0AR0E"/&gt;&lt;style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