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5077" w14:textId="77777777" w:rsidR="00382554" w:rsidRDefault="00382554" w:rsidP="00382554">
      <w:pPr>
        <w:rPr>
          <w:lang w:val="tr-TR"/>
        </w:rPr>
      </w:pPr>
    </w:p>
    <w:p w14:paraId="42803025" w14:textId="6F398CA4" w:rsidR="009865C7" w:rsidRDefault="00382554" w:rsidP="00BF166C">
      <w:pPr>
        <w:pStyle w:val="Heading1"/>
        <w:rPr>
          <w:lang w:val="tr-TR"/>
        </w:rPr>
      </w:pPr>
      <w:r>
        <w:rPr>
          <w:lang w:val="tr-TR"/>
        </w:rPr>
        <w:t>Introduction</w:t>
      </w:r>
      <w:r w:rsidR="00BF166C">
        <w:rPr>
          <w:lang w:val="tr-TR"/>
        </w:rPr>
        <w:t>:</w:t>
      </w:r>
    </w:p>
    <w:p w14:paraId="4AC3E0E5" w14:textId="77777777" w:rsidR="00BF166C" w:rsidRDefault="00BF166C" w:rsidP="00BF166C">
      <w:pPr>
        <w:rPr>
          <w:lang w:val="tr-TR"/>
        </w:rPr>
      </w:pPr>
    </w:p>
    <w:p w14:paraId="04F55259" w14:textId="6FE564DC" w:rsidR="000B5AC2" w:rsidRDefault="00BF166C" w:rsidP="00E11303">
      <w:pPr>
        <w:jc w:val="both"/>
        <w:rPr>
          <w:lang w:val="tr-TR"/>
        </w:rPr>
      </w:pPr>
      <w:r>
        <w:rPr>
          <w:lang w:val="tr-TR"/>
        </w:rPr>
        <w:t>Content analysis has always been one of the key methods in communication research. However, with the advent of web 3.0, the data sources for communication</w:t>
      </w:r>
      <w:r w:rsidR="00416B65">
        <w:rPr>
          <w:lang w:val="tr-TR"/>
        </w:rPr>
        <w:t xml:space="preserve"> and polit</w:t>
      </w:r>
      <w:r w:rsidR="00205556">
        <w:rPr>
          <w:lang w:val="tr-TR"/>
        </w:rPr>
        <w:t>ical</w:t>
      </w:r>
      <w:r>
        <w:rPr>
          <w:lang w:val="tr-TR"/>
        </w:rPr>
        <w:t xml:space="preserve"> content analysis has exponentially grew in volume and complexity. The advances in computational methods, such as dictionary analysis or </w:t>
      </w:r>
      <w:r w:rsidR="000360D1">
        <w:rPr>
          <w:lang w:val="tr-TR"/>
        </w:rPr>
        <w:t xml:space="preserve">supervised </w:t>
      </w:r>
      <w:r>
        <w:rPr>
          <w:lang w:val="tr-TR"/>
        </w:rPr>
        <w:t>machine learning, allow researcher to process vast qu</w:t>
      </w:r>
      <w:r w:rsidR="00E11303">
        <w:rPr>
          <w:lang w:val="tr-TR"/>
        </w:rPr>
        <w:t xml:space="preserve">antities of text. </w:t>
      </w:r>
      <w:r w:rsidR="005C023C">
        <w:rPr>
          <w:lang w:val="tr-TR"/>
        </w:rPr>
        <w:t xml:space="preserve">Especially with recent advances </w:t>
      </w:r>
      <w:r w:rsidR="00ED0DCB">
        <w:rPr>
          <w:lang w:val="tr-TR"/>
        </w:rPr>
        <w:t xml:space="preserve">in computer science, such methods became more convinient to use with the increased availability and ease-of-use of softwares such as </w:t>
      </w:r>
      <w:r w:rsidR="00DC6AF8">
        <w:rPr>
          <w:lang w:val="tr-TR"/>
        </w:rPr>
        <w:t xml:space="preserve">Quanteda </w:t>
      </w:r>
      <w:r w:rsidR="00DC6AF8">
        <w:rPr>
          <w:lang w:val="tr-TR"/>
        </w:rPr>
        <w:fldChar w:fldCharType="begin"/>
      </w:r>
      <w:r w:rsidR="00DC6AF8">
        <w:rPr>
          <w:lang w:val="tr-TR"/>
        </w:rPr>
        <w:instrText xml:space="preserve"> ADDIN ZOTERO_ITEM CSL_CITATION {"citationID":"CcETQnQ3","properties":{"formattedCitation":"(Benoit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DC6AF8">
        <w:rPr>
          <w:lang w:val="tr-TR"/>
        </w:rPr>
        <w:fldChar w:fldCharType="separate"/>
      </w:r>
      <w:r w:rsidR="00DC6AF8" w:rsidRPr="00DC6AF8">
        <w:rPr>
          <w:rFonts w:ascii="Calibri" w:hAnsi="Calibri" w:cs="Calibri"/>
        </w:rPr>
        <w:t>(Benoit et al., 2018)</w:t>
      </w:r>
      <w:r w:rsidR="00DC6AF8">
        <w:rPr>
          <w:lang w:val="tr-TR"/>
        </w:rPr>
        <w:fldChar w:fldCharType="end"/>
      </w:r>
      <w:r w:rsidR="003E4D4C">
        <w:rPr>
          <w:lang w:val="tr-TR"/>
        </w:rPr>
        <w:t xml:space="preserve">, NLTK </w:t>
      </w:r>
      <w:r w:rsidR="003E4D4C">
        <w:rPr>
          <w:lang w:val="tr-TR"/>
        </w:rPr>
        <w:fldChar w:fldCharType="begin"/>
      </w:r>
      <w:r w:rsidR="003E4D4C">
        <w:rPr>
          <w:lang w:val="tr-TR"/>
        </w:rPr>
        <w:instrText xml:space="preserve"> ADDIN ZOTERO_ITEM CSL_CITATION {"citationID":"iYt6fJr9","properties":{"formattedCitation":"(Loper &amp; Bird, 2002)","plainCitation":"(Loper &amp; Bird, 2002)","noteIndex":0},"citationItems":[{"id":5517,"uris":["http://zotero.org/groups/4688598/items/8F2FV34L"],"itemData":{"id":5517,"type":"report","abstract":"NLTK,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outset.","note":"DOI: 10.48550/arXiv.cs/0205028\narXiv:cs/0205028\ntype: article","number":"arXiv:cs/0205028","publisher":"arXiv","source":"arXiv.org","title":"NLTK: The Natural Language Toolkit","title-short":"NLTK","URL":"http://arxiv.org/abs/cs/0205028","author":[{"family":"Loper","given":"Edward"},{"family":"Bird","given":"Steven"}],"accessed":{"date-parts":[["2022",6,2]]},"issued":{"date-parts":[["2002",5,17]]}}}],"schema":"https://github.com/citation-style-language/schema/raw/master/csl-citation.json"} </w:instrText>
      </w:r>
      <w:r w:rsidR="003E4D4C">
        <w:rPr>
          <w:lang w:val="tr-TR"/>
        </w:rPr>
        <w:fldChar w:fldCharType="separate"/>
      </w:r>
      <w:r w:rsidR="003E4D4C" w:rsidRPr="003E4D4C">
        <w:rPr>
          <w:rFonts w:ascii="Calibri" w:hAnsi="Calibri" w:cs="Calibri"/>
        </w:rPr>
        <w:t>(Loper &amp; Bird, 2002)</w:t>
      </w:r>
      <w:r w:rsidR="003E4D4C">
        <w:rPr>
          <w:lang w:val="tr-TR"/>
        </w:rPr>
        <w:fldChar w:fldCharType="end"/>
      </w:r>
      <w:r w:rsidR="003E4D4C">
        <w:rPr>
          <w:lang w:val="tr-TR"/>
        </w:rPr>
        <w:t>, caRet</w:t>
      </w:r>
      <w:r w:rsidR="003E4D4C">
        <w:rPr>
          <w:lang w:val="tr-TR"/>
        </w:rPr>
        <w:fldChar w:fldCharType="begin"/>
      </w:r>
      <w:r w:rsidR="003E4D4C">
        <w:rPr>
          <w:lang w:val="tr-TR"/>
        </w:rPr>
        <w:instrText xml:space="preserve"> ADDIN ZOTERO_ITEM CSL_CITATION {"citationID":"cKS5Lk9e","properties":{"formattedCitation":"(Kuhn,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3E4D4C">
        <w:rPr>
          <w:lang w:val="tr-TR"/>
        </w:rPr>
        <w:fldChar w:fldCharType="separate"/>
      </w:r>
      <w:r w:rsidR="003E4D4C" w:rsidRPr="003E4D4C">
        <w:rPr>
          <w:rFonts w:ascii="Calibri" w:hAnsi="Calibri" w:cs="Calibri"/>
        </w:rPr>
        <w:t>(Kuhn, 2008)</w:t>
      </w:r>
      <w:r w:rsidR="003E4D4C">
        <w:rPr>
          <w:lang w:val="tr-TR"/>
        </w:rPr>
        <w:fldChar w:fldCharType="end"/>
      </w:r>
      <w:r w:rsidR="00065AEF">
        <w:rPr>
          <w:lang w:val="tr-TR"/>
        </w:rPr>
        <w:t xml:space="preserve"> and SciKitLearn</w:t>
      </w:r>
      <w:r w:rsidR="00065AEF">
        <w:rPr>
          <w:lang w:val="tr-TR"/>
        </w:rPr>
        <w:fldChar w:fldCharType="begin"/>
      </w:r>
      <w:r w:rsidR="00065AEF">
        <w:rPr>
          <w:lang w:val="tr-TR"/>
        </w:rPr>
        <w:instrText xml:space="preserve"> ADDIN ZOTERO_ITEM CSL_CITATION {"citationID":"QOxTIZh0","properties":{"formattedCitation":"(Pedregosa et al., 2011)","plainCitation":"(Pedregosa et al., 2011)","noteIndex":0},"citationItems":[{"id":5521,"uris":["http://zotero.org/groups/4688598/items/VUEQJBAX"],"itemData":{"id":5521,"type":"article-journal","abstract":"Scikit-learn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Res.","page":"2825–2830","source":"2/1/2011","title":"Scikit-learn: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schema":"https://github.com/citation-style-language/schema/raw/master/csl-citation.json"} </w:instrText>
      </w:r>
      <w:r w:rsidR="00065AEF">
        <w:rPr>
          <w:lang w:val="tr-TR"/>
        </w:rPr>
        <w:fldChar w:fldCharType="separate"/>
      </w:r>
      <w:r w:rsidR="00065AEF" w:rsidRPr="00065AEF">
        <w:rPr>
          <w:rFonts w:ascii="Calibri" w:hAnsi="Calibri" w:cs="Calibri"/>
        </w:rPr>
        <w:t>(Pedregosa et al., 2011)</w:t>
      </w:r>
      <w:r w:rsidR="00065AEF">
        <w:rPr>
          <w:lang w:val="tr-TR"/>
        </w:rPr>
        <w:fldChar w:fldCharType="end"/>
      </w:r>
      <w:r w:rsidR="00AF1010">
        <w:rPr>
          <w:lang w:val="tr-TR"/>
        </w:rPr>
        <w:t>.</w:t>
      </w:r>
    </w:p>
    <w:p w14:paraId="65AA9864" w14:textId="47C023D4" w:rsidR="00AF1010" w:rsidRDefault="00E11303" w:rsidP="00920701">
      <w:pPr>
        <w:jc w:val="both"/>
        <w:rPr>
          <w:lang w:val="tr-TR"/>
        </w:rPr>
      </w:pPr>
      <w:r>
        <w:rPr>
          <w:lang w:val="tr-TR"/>
        </w:rPr>
        <w:t>While automated content analysis methods offer</w:t>
      </w:r>
      <w:r w:rsidR="006D6132">
        <w:rPr>
          <w:lang w:val="tr-TR"/>
        </w:rPr>
        <w:t xml:space="preserve"> a chance to analyze large quantites of text, </w:t>
      </w:r>
      <w:r w:rsidR="00CB0DFA">
        <w:rPr>
          <w:lang w:val="tr-TR"/>
        </w:rPr>
        <w:t>dictionary and shallow learning (SL) based</w:t>
      </w:r>
      <w:r>
        <w:rPr>
          <w:lang w:val="tr-TR"/>
        </w:rPr>
        <w:t xml:space="preserve"> methods</w:t>
      </w:r>
      <w:r w:rsidR="00CB0DFA">
        <w:rPr>
          <w:lang w:val="tr-TR"/>
        </w:rPr>
        <w:t xml:space="preserve"> are still rather costly. They often</w:t>
      </w:r>
      <w:r>
        <w:rPr>
          <w:lang w:val="tr-TR"/>
        </w:rPr>
        <w:t xml:space="preserve"> require considerable amount of effort from researcher to create training datasets, </w:t>
      </w:r>
      <w:r w:rsidR="00CB0DFA">
        <w:rPr>
          <w:lang w:val="tr-TR"/>
        </w:rPr>
        <w:t xml:space="preserve">extensively test and validate </w:t>
      </w:r>
      <w:r w:rsidR="0042643B">
        <w:rPr>
          <w:lang w:val="tr-TR"/>
        </w:rPr>
        <w:t>their models</w:t>
      </w:r>
      <w:r w:rsidR="00AF1010">
        <w:rPr>
          <w:lang w:val="tr-TR"/>
        </w:rPr>
        <w:t xml:space="preserve"> </w:t>
      </w:r>
      <w:r w:rsidR="00D77C4E">
        <w:rPr>
          <w:lang w:val="tr-TR"/>
        </w:rPr>
        <w:fldChar w:fldCharType="begin"/>
      </w:r>
      <w:r w:rsidR="00D77C4E">
        <w:rPr>
          <w:lang w:val="tr-TR"/>
        </w:rPr>
        <w:instrText xml:space="preserve"> ADDIN ZOTERO_ITEM CSL_CITATION {"citationID":"1JnvedDl","properties":{"formattedCitation":"(Grimmer &amp; Stewart, 2013)","plainCitation":"(Grimmer &amp; Stewart, 2013)","noteIndex":0},"citationItems":[{"id":861,"uris":["http://zotero.org/users/5392384/items/BY2YSC67"],"itemData":{"id":861,"type":"article-journal","container-title":"Political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rsidR="00D77C4E">
        <w:rPr>
          <w:lang w:val="tr-TR"/>
        </w:rPr>
        <w:fldChar w:fldCharType="separate"/>
      </w:r>
      <w:r w:rsidR="00D77C4E" w:rsidRPr="00D77C4E">
        <w:rPr>
          <w:rFonts w:ascii="Calibri" w:hAnsi="Calibri" w:cs="Calibri"/>
        </w:rPr>
        <w:t>(Grimmer &amp; Stewart, 2013)</w:t>
      </w:r>
      <w:r w:rsidR="00D77C4E">
        <w:rPr>
          <w:lang w:val="tr-TR"/>
        </w:rPr>
        <w:fldChar w:fldCharType="end"/>
      </w:r>
      <w:r w:rsidR="00D77C4E">
        <w:rPr>
          <w:lang w:val="tr-TR"/>
        </w:rPr>
        <w:t>.</w:t>
      </w:r>
      <w:r w:rsidR="000B5AC2">
        <w:rPr>
          <w:lang w:val="tr-TR"/>
        </w:rPr>
        <w:t xml:space="preserve"> </w:t>
      </w:r>
      <w:r w:rsidR="00AF1010">
        <w:rPr>
          <w:lang w:val="tr-TR"/>
        </w:rPr>
        <w:t xml:space="preserve">Moreover, these methods are often unable to </w:t>
      </w:r>
      <w:r w:rsidR="00A73074">
        <w:rPr>
          <w:lang w:val="tr-TR"/>
        </w:rPr>
        <w:t>help researchers process multi-modal communication where the message is spread across different modalities such as memes, and campaing posters.</w:t>
      </w:r>
    </w:p>
    <w:p w14:paraId="427CCD5F" w14:textId="528CBDDD" w:rsidR="001F2B60" w:rsidRDefault="002B4434" w:rsidP="00920701">
      <w:pPr>
        <w:jc w:val="both"/>
        <w:rPr>
          <w:lang w:val="tr-TR"/>
        </w:rPr>
      </w:pPr>
      <w:r>
        <w:rPr>
          <w:lang w:val="tr-TR"/>
        </w:rPr>
        <w:t xml:space="preserve">While deep learning (DL) based models </w:t>
      </w:r>
      <w:r w:rsidR="001A5817">
        <w:rPr>
          <w:lang w:val="tr-TR"/>
        </w:rPr>
        <w:t xml:space="preserve">have similar, if not more demanding, </w:t>
      </w:r>
      <w:r w:rsidR="007B54CE">
        <w:rPr>
          <w:lang w:val="tr-TR"/>
        </w:rPr>
        <w:t xml:space="preserve">requirements in terms of training and validation, they also carry possiblity to extend </w:t>
      </w:r>
      <w:r w:rsidR="009B2F2D">
        <w:rPr>
          <w:lang w:val="tr-TR"/>
        </w:rPr>
        <w:t>content analysis inquiries to multi-modal materials. Previous studies</w:t>
      </w:r>
      <w:r w:rsidR="00E26780">
        <w:rPr>
          <w:lang w:val="tr-TR"/>
        </w:rPr>
        <w:t xml:space="preserve"> </w:t>
      </w:r>
      <w:r w:rsidR="009B2F2D">
        <w:rPr>
          <w:lang w:val="tr-TR"/>
        </w:rPr>
        <w:t>have demonstrated the flexibility of embeddings to analyze multimodel data</w:t>
      </w:r>
      <w:r w:rsidR="000D08B2">
        <w:rPr>
          <w:lang w:val="tr-TR"/>
        </w:rPr>
        <w:fldChar w:fldCharType="begin"/>
      </w:r>
      <w:r w:rsidR="000D08B2">
        <w:rPr>
          <w:lang w:val="tr-TR"/>
        </w:rPr>
        <w:instrText xml:space="preserve"> ADDIN ZOTERO_ITEM CSL_CITATION {"citationID":"y4YGQmlM","properties":{"formattedCitation":"(Li et al., 2022; Niu et al., 2019; Tseng et al., 2021)","plainCitation":"(Li et al., 2022; Niu et al., 2019; Tseng et al., 2021)","noteIndex":0},"citationItems":[{"id":5524,"uris":["http://zotero.org/groups/4688598/items/YXBM88ZI"],"itemData":{"id":5524,"type":"article-journal","abstract":"As a bridge between language and vision domains, cross-modal retrieval between images and texts is a hot research topic in recent years. It remains challenging because the current image representations usually lack semantic concepts in the corresponding sentence captions. To address this issue, we introduce an intuitive and interpretable reasoning model to learn a common embedding space for alignments between images and text descriptions. Specifically, our model first incorporates the semantic relationship information into visual and textual features by performing region or word relationship reasoning. Then it utilizes the gate and memory mechanism to perform global semantic reasoning on these relationship-enhanced features, select the discriminative information and gradually grow representations for the whole scene. Through the alignment learning, the learned visual representations capture key objects and semantic concepts of a scene as in the corresponding text caption. Experiments on MS-COCO and Flickr30K datasets validate that our method surpasses many recent state-of-the-arts with a clear margin. In addition to the effectiveness, our methods are also very efficient at the inference stage. Benefited from the effective overall representation learning, our methods are more than 30-75 times faster than many recent methods that rely on local matching algorithms.","container-title":"IEEE transactions on pattern analysis and machine intelligence","DOI":"10.1109/TPAMI.2022.3148470","ISSN":"1939-3539","journalAbbreviation":"IEEE Trans Pattern Anal Mach Intell","language":"eng","note":"PMID: 35130144","source":"PubMed","title":"Image-Text Embedding Learning via Visual and Textual Semantic Reasoning","volume":"PP","author":[{"family":"Li","given":"Kunpeng"},{"family":"Zhang","given":"Yulun"},{"family":"Li","given":"Kai"},{"family":"Li","given":"Yuanyuan"},{"family":"Fu","given":"Yun"}],"issued":{"date-parts":[["2022",2,7]]}}},{"id":5501,"uris":["http://zotero.org/groups/4688598/items/7DX9AR2D"],"itemData":{"id":5501,"type":"article-journal","abstract":"Image annotation aims to annotate a given image with a variable number of class labels corresponding to diverse visual concepts. In this paper, we address two main issues in large-scale image annotation: 1) how to learn a rich feature representation suitable for predicting a diverse set of visual concepts ranging from object, scene to abstract concept and 2) how to annotate an image with the optimal number of class labels. To address the first issue, we propose a novel multi-scale deep model for extracting rich and discriminative features capable of representing a wide range of visual concepts. Specifically, a novel two-branch deep neural network architecture is proposed, which comprises a very deep main network branch and a companion feature fusion network branch designed for fusing the multi-scale features computed from the main branch. The deep model is also made multi-modal by taking noisy user-provided tags as model input to complement the image input. For tackling the second issue, we introduce a label quantity prediction auxiliary task to the main label prediction task to explicitly estimate the optimal label number for a given image. Extensive experiments are carried out on two large-scale image annotation benchmark datasets, and the results show that our method significantly outperforms the state of the art.","container-title":"IEEE Transactions on Image Processing","DOI":"10.1109/TIP.2018.2881928","ISSN":"1941-0042","issue":"4","note":"event: IEEE Transactions on Image Processing","page":"1720-1731","source":"IEEE Xplore","title":"Multi-Modal Multi-Scale Deep Learning for Large-Scale Image Annotation","volume":"28","author":[{"family":"Niu","given":"Yulei"},{"family":"Lu","given":"Zhiwu"},{"family":"Wen","given":"Ji-Rong"},{"family":"Xiang","given":"Tao"},{"family":"Chang","given":"Shih-Fu"}],"issued":{"date-parts":[["2019",4]]}}},{"id":5523,"uris":["http://zotero.org/groups/4688598/items/3TB6FH2V"],"itemData":{"id":5523,"type":"article-journal","abstract":"Word embeddings such as ELMo and BERT have been shown to model word usage in language with greater efficacy through contextualized learning on large-scale language corpora, resulting in significant performance improvement across many natural language processing tasks. In this work we integrate acoustic information into contextualized lexical embeddings through the addition of a parallel stream to the bidirectional language model. This multimodal language model is trained on spoken language data that includes both text and audio modalities. We show that embeddings extracted from this model integrate paralinguistic cues into word meanings and can provide vital affective information by applying these multimodal embeddings to the task of speaker emotion recognition.","container-title":"IEEE Signal Processing Letters","DOI":"10.1109/LSP.2021.3065598","ISSN":"1558-2361","note":"event: IEEE Signal Processing Letters","page":"608-612","source":"IEEE Xplore","title":"Multimodal Embeddings From Language Models for Emotion Recognition in the Wild","volume":"28","author":[{"family":"Tseng","given":"Shao-Yen"},{"family":"Narayanan","given":"Shrikanth"},{"family":"Georgiou","given":"Panayiotis"}],"issued":{"date-parts":[["2021"]]}}}],"schema":"https://github.com/citation-style-language/schema/raw/master/csl-citation.json"} </w:instrText>
      </w:r>
      <w:r w:rsidR="000D08B2">
        <w:rPr>
          <w:lang w:val="tr-TR"/>
        </w:rPr>
        <w:fldChar w:fldCharType="separate"/>
      </w:r>
      <w:r w:rsidR="000D08B2" w:rsidRPr="00DB55E8">
        <w:rPr>
          <w:rFonts w:ascii="Calibri" w:hAnsi="Calibri" w:cs="Calibri"/>
        </w:rPr>
        <w:t>(Li et al., 2022; Niu et al., 2019; Tseng et al., 2021)</w:t>
      </w:r>
      <w:r w:rsidR="000D08B2">
        <w:rPr>
          <w:lang w:val="tr-TR"/>
        </w:rPr>
        <w:fldChar w:fldCharType="end"/>
      </w:r>
      <w:r w:rsidR="009B2F2D">
        <w:rPr>
          <w:lang w:val="tr-TR"/>
        </w:rPr>
        <w:t>.</w:t>
      </w:r>
      <w:r w:rsidR="00075F17">
        <w:rPr>
          <w:lang w:val="tr-TR"/>
        </w:rPr>
        <w:t xml:space="preserve"> This potential becomes even more valuable</w:t>
      </w:r>
      <w:r w:rsidR="0009560C">
        <w:rPr>
          <w:lang w:val="tr-TR"/>
        </w:rPr>
        <w:t xml:space="preserve"> as the political and social actors adapt and increase their communication on social media platforms using </w:t>
      </w:r>
      <w:r w:rsidR="00A8222C">
        <w:rPr>
          <w:lang w:val="tr-TR"/>
        </w:rPr>
        <w:t>audio-visual materials as well as text</w:t>
      </w:r>
      <w:r w:rsidR="00485211">
        <w:rPr>
          <w:lang w:val="tr-TR"/>
        </w:rPr>
        <w:t>. For example,</w:t>
      </w:r>
      <w:r w:rsidR="00A8222C">
        <w:rPr>
          <w:lang w:val="tr-TR"/>
        </w:rPr>
        <w:t xml:space="preserve"> one of the key political actors in Europe, the European Union has </w:t>
      </w:r>
      <w:r w:rsidR="00CC4DD4">
        <w:rPr>
          <w:lang w:val="tr-TR"/>
        </w:rPr>
        <w:t>increased its Twitter communication almost 4 folds in the last decade</w:t>
      </w:r>
      <w:r w:rsidR="00B70AB1">
        <w:rPr>
          <w:lang w:val="tr-TR"/>
        </w:rPr>
        <w:t xml:space="preserve"> where more than 40% of the messages contain at lease one embedded image </w:t>
      </w:r>
      <w:r w:rsidR="00856707">
        <w:rPr>
          <w:lang w:val="tr-TR"/>
        </w:rPr>
        <w:fldChar w:fldCharType="begin"/>
      </w:r>
      <w:r w:rsidR="00856707">
        <w:rPr>
          <w:lang w:val="tr-TR"/>
        </w:rPr>
        <w:instrText xml:space="preserve"> ADDIN ZOTERO_ITEM CSL_CITATION {"citationID":"nhpGtbO3","properties":{"formattedCitation":"(\\uc0\\u214{}zdemir &amp; Rauh, 2022)","plainCitation":"(Özdemir &amp; Rauh, 2022)","noteIndex":0},"citationItems":[{"id":5527,"uris":["http://zotero.org/groups/4688598/items/K2CHKHRA"],"itemData":{"id":5527,"type":"article-journal","abstract":"Sina Özdemir, Christian Rauh","container-title":"Politics and Governance","DOI":"10.17645/pag.v10i1.4686","ISSN":"2183-2463","issue":"1","language":"en","note":"number: 1","page":"133-145","source":"www.cogitatiopress.com","title":"A Bird’s Eye View: Supranational EU Actors on Twitter","title-short":"A Bird’s Eye View","volume":"10","author":[{"family":"Özdemir","given":"Sina"},{"family":"Rauh","given":"Christian"}],"issued":{"date-parts":[["2022",2,17]]}}}],"schema":"https://github.com/citation-style-language/schema/raw/master/csl-citation.json"} </w:instrText>
      </w:r>
      <w:r w:rsidR="00856707">
        <w:rPr>
          <w:lang w:val="tr-TR"/>
        </w:rPr>
        <w:fldChar w:fldCharType="separate"/>
      </w:r>
      <w:r w:rsidR="00856707" w:rsidRPr="00856707">
        <w:rPr>
          <w:rFonts w:ascii="Calibri" w:hAnsi="Calibri" w:cs="Calibri"/>
          <w:szCs w:val="24"/>
        </w:rPr>
        <w:t>(Özdemir &amp; Rauh, 2022)</w:t>
      </w:r>
      <w:r w:rsidR="00856707">
        <w:rPr>
          <w:lang w:val="tr-TR"/>
        </w:rPr>
        <w:fldChar w:fldCharType="end"/>
      </w:r>
      <w:r w:rsidR="002647FB">
        <w:rPr>
          <w:lang w:val="tr-TR"/>
        </w:rPr>
        <w:t>. Against this backdrop, DL embeddings</w:t>
      </w:r>
      <w:r w:rsidR="004B7A00">
        <w:rPr>
          <w:lang w:val="tr-TR"/>
        </w:rPr>
        <w:t xml:space="preserve"> carry the potential to open up new research venues and possiblities.</w:t>
      </w:r>
    </w:p>
    <w:p w14:paraId="1985C09C" w14:textId="77777777" w:rsidR="00382554" w:rsidRDefault="00702EE2" w:rsidP="00920701">
      <w:pPr>
        <w:jc w:val="both"/>
        <w:rPr>
          <w:lang w:val="tr-TR"/>
        </w:rPr>
      </w:pPr>
      <w:r>
        <w:rPr>
          <w:lang w:val="tr-TR"/>
        </w:rPr>
        <w:t xml:space="preserve">In this paper, we evaluate the </w:t>
      </w:r>
      <w:r w:rsidR="00CA27CB">
        <w:rPr>
          <w:lang w:val="tr-TR"/>
        </w:rPr>
        <w:t xml:space="preserve">feasibility of using multi-modal DL </w:t>
      </w:r>
      <w:r w:rsidR="0020448F">
        <w:rPr>
          <w:lang w:val="tr-TR"/>
        </w:rPr>
        <w:t>embeddings to classify political messages where the message is delivered with a combination of visual and textual modalities</w:t>
      </w:r>
      <w:r w:rsidR="006E1622">
        <w:rPr>
          <w:lang w:val="tr-TR"/>
        </w:rPr>
        <w:t xml:space="preserve"> in a computational experiment. </w:t>
      </w:r>
      <w:r w:rsidR="00920D1A">
        <w:rPr>
          <w:lang w:val="tr-TR"/>
        </w:rPr>
        <w:t>We utilize series of SL models and multi-modal DL embedding to classify manually annotated tweets from EU executives</w:t>
      </w:r>
      <w:r w:rsidR="00466D63">
        <w:rPr>
          <w:lang w:val="tr-TR"/>
        </w:rPr>
        <w:t xml:space="preserve">. We then compare the classification performance </w:t>
      </w:r>
      <w:r w:rsidR="00FF20B6">
        <w:rPr>
          <w:lang w:val="tr-TR"/>
        </w:rPr>
        <w:t>of these models</w:t>
      </w:r>
      <w:r w:rsidR="00F71C75">
        <w:rPr>
          <w:lang w:val="tr-TR"/>
        </w:rPr>
        <w:t>. Our results indicate [...]. Finally, we conclude with some recommendations for researchers who would like to use multi-modal data</w:t>
      </w:r>
      <w:r w:rsidR="00382554">
        <w:rPr>
          <w:lang w:val="tr-TR"/>
        </w:rPr>
        <w:t xml:space="preserve"> in automated content analysis.</w:t>
      </w:r>
    </w:p>
    <w:p w14:paraId="5B28C4A1" w14:textId="77777777" w:rsidR="00382554" w:rsidRDefault="00382554" w:rsidP="00920701">
      <w:pPr>
        <w:jc w:val="both"/>
        <w:rPr>
          <w:lang w:val="tr-TR"/>
        </w:rPr>
      </w:pPr>
    </w:p>
    <w:p w14:paraId="42EA489C" w14:textId="66576CC4" w:rsidR="001F2B60" w:rsidRDefault="00382554" w:rsidP="00382554">
      <w:pPr>
        <w:pStyle w:val="Heading1"/>
        <w:rPr>
          <w:lang w:val="tr-TR"/>
        </w:rPr>
      </w:pPr>
      <w:r>
        <w:rPr>
          <w:lang w:val="tr-TR"/>
        </w:rPr>
        <w:t>Research design and data:</w:t>
      </w:r>
    </w:p>
    <w:p w14:paraId="42F49ACE" w14:textId="3CE3B77D" w:rsidR="00382554" w:rsidRDefault="00382554" w:rsidP="00382554">
      <w:pPr>
        <w:rPr>
          <w:lang w:val="tr-TR"/>
        </w:rPr>
      </w:pPr>
    </w:p>
    <w:p w14:paraId="0EB389AB" w14:textId="3CA42CE9" w:rsidR="00595146" w:rsidRPr="00590D9D" w:rsidRDefault="003E42DE" w:rsidP="00595146">
      <w:pPr>
        <w:jc w:val="both"/>
        <w:rPr>
          <w:lang w:val="tr-TR"/>
        </w:rPr>
      </w:pPr>
      <w:r>
        <w:rPr>
          <w:lang w:val="tr-TR"/>
        </w:rPr>
        <w:t xml:space="preserve">We use 830 tweets from the EU executive accounts sent out between </w:t>
      </w:r>
      <w:r w:rsidR="00141BB8">
        <w:rPr>
          <w:lang w:val="tr-TR"/>
        </w:rPr>
        <w:t>December 1st 2019 and July 31st 2020.</w:t>
      </w:r>
      <w:r w:rsidR="00590D9D">
        <w:rPr>
          <w:lang w:val="tr-TR"/>
        </w:rPr>
        <w:t xml:space="preserve"> </w:t>
      </w:r>
      <w:r w:rsidR="00590D9D">
        <w:t xml:space="preserve">We focus on these </w:t>
      </w:r>
      <w:r w:rsidR="00CF04C7">
        <w:t>828</w:t>
      </w:r>
      <w:r w:rsidR="00590D9D">
        <w:t xml:space="preserve"> tweets in our experiment specifically because they deliver their message by combining text and images</w:t>
      </w:r>
      <w:r w:rsidR="001A37CC">
        <w:t xml:space="preserve"> or supplemented the textual message with imagery</w:t>
      </w:r>
      <w:r w:rsidR="00590D9D">
        <w:rPr>
          <w:lang w:val="tr-TR"/>
        </w:rPr>
        <w:t>. An example of them is presented in figure 1.</w:t>
      </w:r>
      <w:r w:rsidR="00141BB8">
        <w:rPr>
          <w:lang w:val="tr-TR"/>
        </w:rPr>
        <w:t xml:space="preserve"> The tweets are manually annotated </w:t>
      </w:r>
      <w:r w:rsidR="00B3577C">
        <w:rPr>
          <w:lang w:val="tr-TR"/>
        </w:rPr>
        <w:t>as a part of the project Trondheim Analytica (Özdemir, Graneng, de Wilde, forthcoming)</w:t>
      </w:r>
      <w:r w:rsidR="00AB3583">
        <w:rPr>
          <w:lang w:val="tr-TR"/>
        </w:rPr>
        <w:t xml:space="preserve">. The orginal dataset </w:t>
      </w:r>
      <w:r w:rsidR="00364F9F">
        <w:rPr>
          <w:lang w:val="tr-TR"/>
        </w:rPr>
        <w:t xml:space="preserve">is composed of all tweets from the 117 verified accounts of EU executives </w:t>
      </w:r>
      <w:r w:rsidR="00EF7ABF">
        <w:rPr>
          <w:lang w:val="tr-TR"/>
        </w:rPr>
        <w:t xml:space="preserve">which includes commissioners, </w:t>
      </w:r>
      <w:r w:rsidR="00940554">
        <w:rPr>
          <w:lang w:val="tr-TR"/>
        </w:rPr>
        <w:t xml:space="preserve">director generals, </w:t>
      </w:r>
      <w:r w:rsidR="00035208">
        <w:rPr>
          <w:lang w:val="tr-TR"/>
        </w:rPr>
        <w:t xml:space="preserve">institutions and </w:t>
      </w:r>
      <w:r w:rsidR="00035208">
        <w:rPr>
          <w:lang w:val="tr-TR"/>
        </w:rPr>
        <w:lastRenderedPageBreak/>
        <w:t xml:space="preserve">agencies responsible for policy making and implementation at the EU level. </w:t>
      </w:r>
      <w:r w:rsidR="000E4607">
        <w:rPr>
          <w:lang w:val="tr-TR"/>
        </w:rPr>
        <w:t>Tweets were</w:t>
      </w:r>
      <w:r w:rsidR="000E4607" w:rsidRPr="000E4607">
        <w:rPr>
          <w:lang w:val="tr-TR"/>
        </w:rPr>
        <w:t xml:space="preserve"> manually coded as a whole according to its key message</w:t>
      </w:r>
      <w:r w:rsidR="000E4607">
        <w:rPr>
          <w:lang w:val="tr-TR"/>
        </w:rPr>
        <w:t xml:space="preserve"> by a team of two researchers</w:t>
      </w:r>
      <w:r w:rsidR="000E4607" w:rsidRPr="000E4607">
        <w:rPr>
          <w:lang w:val="tr-TR"/>
        </w:rPr>
        <w:t xml:space="preserve">. </w:t>
      </w:r>
      <w:r w:rsidR="00A9092E">
        <w:rPr>
          <w:lang w:val="tr-TR"/>
        </w:rPr>
        <w:t>T</w:t>
      </w:r>
      <w:r w:rsidR="000E4607" w:rsidRPr="000E4607">
        <w:rPr>
          <w:lang w:val="tr-TR"/>
        </w:rPr>
        <w:t>hese key messages</w:t>
      </w:r>
      <w:r w:rsidR="00A9092E">
        <w:rPr>
          <w:lang w:val="tr-TR"/>
        </w:rPr>
        <w:t>,</w:t>
      </w:r>
      <w:r w:rsidR="000E4607" w:rsidRPr="000E4607">
        <w:rPr>
          <w:lang w:val="tr-TR"/>
        </w:rPr>
        <w:t xml:space="preserve"> object of publicity, </w:t>
      </w:r>
      <w:r w:rsidR="00D375F4">
        <w:rPr>
          <w:lang w:val="tr-TR"/>
        </w:rPr>
        <w:t xml:space="preserve"> are </w:t>
      </w:r>
      <w:r w:rsidR="000E4607" w:rsidRPr="000E4607">
        <w:rPr>
          <w:lang w:val="tr-TR"/>
        </w:rPr>
        <w:t>the specific acts in the tweet such as meetings, identity or mission statements, opinions, and identified by “what is being publicized in the tweet?”.</w:t>
      </w:r>
      <w:r w:rsidR="00C022F1">
        <w:rPr>
          <w:lang w:val="tr-TR"/>
        </w:rPr>
        <w:t xml:space="preserve"> O</w:t>
      </w:r>
      <w:r w:rsidR="00C022F1" w:rsidRPr="000E4607">
        <w:rPr>
          <w:lang w:val="tr-TR"/>
        </w:rPr>
        <w:t xml:space="preserve">bject of publicity </w:t>
      </w:r>
      <w:r w:rsidR="00595146" w:rsidRPr="000E4607">
        <w:rPr>
          <w:lang w:val="tr-TR"/>
        </w:rPr>
        <w:t>consists of six different categories</w:t>
      </w:r>
      <w:r w:rsidR="00595146">
        <w:rPr>
          <w:lang w:val="tr-TR"/>
        </w:rPr>
        <w:t xml:space="preserve"> which are</w:t>
      </w:r>
      <w:r w:rsidR="00C022F1" w:rsidRPr="000E4607">
        <w:rPr>
          <w:lang w:val="tr-TR"/>
        </w:rPr>
        <w:t xml:space="preserve"> coded as individual binary indicators</w:t>
      </w:r>
      <w:r w:rsidR="002E4478">
        <w:rPr>
          <w:lang w:val="tr-TR"/>
        </w:rPr>
        <w:t xml:space="preserve"> since</w:t>
      </w:r>
      <w:r w:rsidR="00C022F1" w:rsidRPr="000E4607">
        <w:rPr>
          <w:lang w:val="tr-TR"/>
        </w:rPr>
        <w:t xml:space="preserve"> tweets can contain multiple categories of object of publicity</w:t>
      </w:r>
      <w:r w:rsidR="002E4478">
        <w:rPr>
          <w:lang w:val="tr-TR"/>
        </w:rPr>
        <w:t>.</w:t>
      </w:r>
      <w:r w:rsidR="00BD29C1">
        <w:rPr>
          <w:lang w:val="tr-TR"/>
        </w:rPr>
        <w:t xml:space="preserve"> Reply category is provided by Twitter API.</w:t>
      </w:r>
      <w:r w:rsidR="00595146" w:rsidRPr="000E4607">
        <w:rPr>
          <w:lang w:val="tr-TR"/>
        </w:rPr>
        <w:t xml:space="preserve"> Categories for object of publicity and example tweets are presented in Table 1. </w:t>
      </w:r>
      <w:r w:rsidR="002E4478">
        <w:rPr>
          <w:lang w:val="tr-TR"/>
        </w:rPr>
        <w:t>To ensure the data quality,</w:t>
      </w:r>
      <w:r w:rsidR="00C022F1" w:rsidRPr="000E4607">
        <w:rPr>
          <w:lang w:val="tr-TR"/>
        </w:rPr>
        <w:t xml:space="preserve"> three rounds of intercoder reliability tests</w:t>
      </w:r>
      <w:r w:rsidR="00E37D16">
        <w:rPr>
          <w:lang w:val="tr-TR"/>
        </w:rPr>
        <w:t xml:space="preserve"> were conducted</w:t>
      </w:r>
      <w:r w:rsidR="00C022F1" w:rsidRPr="000E4607">
        <w:rPr>
          <w:lang w:val="tr-TR"/>
        </w:rPr>
        <w:t xml:space="preserve"> between coders before coding the full sample.</w:t>
      </w:r>
      <w:r w:rsidR="00595146" w:rsidRPr="00595146">
        <w:rPr>
          <w:lang w:val="tr-TR"/>
        </w:rPr>
        <w:t xml:space="preserve"> </w:t>
      </w:r>
      <w:r w:rsidR="00595146" w:rsidRPr="000E4607">
        <w:rPr>
          <w:lang w:val="tr-TR"/>
        </w:rPr>
        <w:t>The first two rounds showed insufficient reliability scores, but after intensive training and discussion among coders, we reached sufficient reliability scores across all coding categories (</w:t>
      </w:r>
      <w:r w:rsidR="001E4277">
        <w:rPr>
          <w:lang w:val="tr-TR"/>
        </w:rPr>
        <w:t xml:space="preserve">Krippendorf </w:t>
      </w:r>
      <w:r w:rsidR="001E4277">
        <w:rPr>
          <w:rFonts w:cstheme="minorHAnsi"/>
          <w:lang w:val="tr-TR"/>
        </w:rPr>
        <w:t>α</w:t>
      </w:r>
      <w:r w:rsidR="001E4277">
        <w:rPr>
          <w:lang w:val="tr-TR"/>
        </w:rPr>
        <w:t xml:space="preserve"> &gt;.8</w:t>
      </w:r>
      <w:r w:rsidR="00595146" w:rsidRPr="000E4607">
        <w:rPr>
          <w:lang w:val="tr-TR"/>
        </w:rPr>
        <w:t>).</w:t>
      </w:r>
    </w:p>
    <w:p w14:paraId="060BCE7A" w14:textId="2A8C1537" w:rsidR="00D325C3" w:rsidRDefault="00D325C3" w:rsidP="00D325C3">
      <w:pPr>
        <w:pStyle w:val="Caption"/>
        <w:keepNext/>
      </w:pPr>
      <w:r>
        <w:t xml:space="preserve">Table </w:t>
      </w:r>
      <w:fldSimple w:instr=" SEQ Table \* ARABIC ">
        <w:r w:rsidR="00BD29C1">
          <w:rPr>
            <w:noProof/>
          </w:rPr>
          <w:t>1</w:t>
        </w:r>
      </w:fldSimple>
      <w:r>
        <w:t>: Categories for object of publicity</w:t>
      </w:r>
    </w:p>
    <w:tbl>
      <w:tblPr>
        <w:tblStyle w:val="TableGrid"/>
        <w:tblW w:w="926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2384"/>
        <w:gridCol w:w="2158"/>
        <w:gridCol w:w="2158"/>
      </w:tblGrid>
      <w:tr w:rsidR="00FF7AE3" w:rsidRPr="0078643B" w14:paraId="5F341C88" w14:textId="05FD3B24" w:rsidTr="00FF7AE3">
        <w:trPr>
          <w:trHeight w:val="594"/>
        </w:trPr>
        <w:tc>
          <w:tcPr>
            <w:tcW w:w="2564" w:type="dxa"/>
            <w:vMerge w:val="restart"/>
            <w:tcBorders>
              <w:top w:val="single" w:sz="18" w:space="0" w:color="auto"/>
            </w:tcBorders>
            <w:vAlign w:val="center"/>
          </w:tcPr>
          <w:p w14:paraId="56456BA5" w14:textId="77777777" w:rsidR="00FF7AE3" w:rsidRPr="0078643B" w:rsidRDefault="00FF7AE3" w:rsidP="00FF7AE3">
            <w:pPr>
              <w:jc w:val="center"/>
              <w:rPr>
                <w:b/>
                <w:sz w:val="20"/>
                <w:szCs w:val="16"/>
              </w:rPr>
            </w:pPr>
            <w:r w:rsidRPr="0078643B">
              <w:rPr>
                <w:b/>
                <w:sz w:val="20"/>
                <w:szCs w:val="16"/>
              </w:rPr>
              <w:t>Object of publicity categories</w:t>
            </w:r>
          </w:p>
        </w:tc>
        <w:tc>
          <w:tcPr>
            <w:tcW w:w="2384" w:type="dxa"/>
            <w:vMerge w:val="restart"/>
            <w:tcBorders>
              <w:top w:val="single" w:sz="18" w:space="0" w:color="auto"/>
            </w:tcBorders>
            <w:vAlign w:val="center"/>
          </w:tcPr>
          <w:p w14:paraId="403F8091" w14:textId="77777777" w:rsidR="00FF7AE3" w:rsidRPr="0078643B" w:rsidRDefault="00FF7AE3" w:rsidP="00FF7AE3">
            <w:pPr>
              <w:jc w:val="center"/>
              <w:rPr>
                <w:b/>
                <w:sz w:val="20"/>
                <w:szCs w:val="16"/>
              </w:rPr>
            </w:pPr>
            <w:r w:rsidRPr="0078643B">
              <w:rPr>
                <w:b/>
                <w:sz w:val="20"/>
                <w:szCs w:val="16"/>
              </w:rPr>
              <w:t>Definition</w:t>
            </w:r>
          </w:p>
        </w:tc>
        <w:tc>
          <w:tcPr>
            <w:tcW w:w="4316" w:type="dxa"/>
            <w:gridSpan w:val="2"/>
            <w:tcBorders>
              <w:top w:val="single" w:sz="18" w:space="0" w:color="auto"/>
            </w:tcBorders>
            <w:vAlign w:val="center"/>
          </w:tcPr>
          <w:p w14:paraId="2F7326B8" w14:textId="77777777" w:rsidR="00FF7AE3" w:rsidRDefault="00FF7AE3" w:rsidP="00FF7AE3">
            <w:pPr>
              <w:jc w:val="center"/>
              <w:rPr>
                <w:b/>
                <w:sz w:val="20"/>
                <w:szCs w:val="16"/>
              </w:rPr>
            </w:pPr>
            <w:r>
              <w:rPr>
                <w:b/>
                <w:sz w:val="20"/>
                <w:szCs w:val="16"/>
              </w:rPr>
              <w:t>Label distributions</w:t>
            </w:r>
          </w:p>
          <w:p w14:paraId="5ED2908B" w14:textId="3589C800" w:rsidR="001574B9" w:rsidRPr="0078643B" w:rsidRDefault="001574B9" w:rsidP="00FF7AE3">
            <w:pPr>
              <w:jc w:val="center"/>
              <w:rPr>
                <w:b/>
                <w:sz w:val="20"/>
                <w:szCs w:val="16"/>
              </w:rPr>
            </w:pPr>
            <w:r>
              <w:rPr>
                <w:b/>
                <w:sz w:val="20"/>
                <w:szCs w:val="16"/>
              </w:rPr>
              <w:t>(</w:t>
            </w:r>
            <w:r w:rsidR="00CF04C7">
              <w:rPr>
                <w:b/>
                <w:sz w:val="20"/>
                <w:szCs w:val="16"/>
              </w:rPr>
              <w:t>N</w:t>
            </w:r>
            <w:r>
              <w:rPr>
                <w:b/>
                <w:sz w:val="20"/>
                <w:szCs w:val="16"/>
              </w:rPr>
              <w:t>=</w:t>
            </w:r>
            <w:r w:rsidR="00CF04C7">
              <w:rPr>
                <w:b/>
                <w:sz w:val="20"/>
                <w:szCs w:val="16"/>
              </w:rPr>
              <w:t>828)</w:t>
            </w:r>
          </w:p>
        </w:tc>
      </w:tr>
      <w:tr w:rsidR="00FF7AE3" w:rsidRPr="0078643B" w14:paraId="70B212DE" w14:textId="77777777" w:rsidTr="00FF7AE3">
        <w:trPr>
          <w:trHeight w:val="594"/>
        </w:trPr>
        <w:tc>
          <w:tcPr>
            <w:tcW w:w="2564" w:type="dxa"/>
            <w:vMerge/>
            <w:tcBorders>
              <w:bottom w:val="single" w:sz="18" w:space="0" w:color="auto"/>
            </w:tcBorders>
          </w:tcPr>
          <w:p w14:paraId="4D38065D" w14:textId="77777777" w:rsidR="00FF7AE3" w:rsidRPr="0078643B" w:rsidRDefault="00FF7AE3" w:rsidP="0078643B">
            <w:pPr>
              <w:spacing w:line="480" w:lineRule="auto"/>
              <w:jc w:val="both"/>
              <w:rPr>
                <w:b/>
                <w:sz w:val="20"/>
                <w:szCs w:val="16"/>
              </w:rPr>
            </w:pPr>
          </w:p>
        </w:tc>
        <w:tc>
          <w:tcPr>
            <w:tcW w:w="2384" w:type="dxa"/>
            <w:vMerge/>
            <w:tcBorders>
              <w:bottom w:val="single" w:sz="18" w:space="0" w:color="auto"/>
            </w:tcBorders>
          </w:tcPr>
          <w:p w14:paraId="795909D4" w14:textId="77777777" w:rsidR="00FF7AE3" w:rsidRPr="0078643B" w:rsidRDefault="00FF7AE3" w:rsidP="0078643B">
            <w:pPr>
              <w:spacing w:line="480" w:lineRule="auto"/>
              <w:jc w:val="both"/>
              <w:rPr>
                <w:b/>
                <w:sz w:val="20"/>
                <w:szCs w:val="16"/>
              </w:rPr>
            </w:pPr>
          </w:p>
        </w:tc>
        <w:tc>
          <w:tcPr>
            <w:tcW w:w="2158" w:type="dxa"/>
            <w:tcBorders>
              <w:bottom w:val="single" w:sz="18" w:space="0" w:color="auto"/>
            </w:tcBorders>
            <w:vAlign w:val="center"/>
          </w:tcPr>
          <w:p w14:paraId="67DB075E" w14:textId="668D1B79" w:rsidR="00FF7AE3" w:rsidRPr="0078643B" w:rsidRDefault="00FF7AE3" w:rsidP="00FF7AE3">
            <w:pPr>
              <w:spacing w:line="480" w:lineRule="auto"/>
              <w:jc w:val="center"/>
              <w:rPr>
                <w:b/>
                <w:sz w:val="20"/>
                <w:szCs w:val="16"/>
              </w:rPr>
            </w:pPr>
            <w:r>
              <w:rPr>
                <w:b/>
                <w:sz w:val="20"/>
                <w:szCs w:val="16"/>
              </w:rPr>
              <w:t>1</w:t>
            </w:r>
          </w:p>
        </w:tc>
        <w:tc>
          <w:tcPr>
            <w:tcW w:w="2158" w:type="dxa"/>
            <w:tcBorders>
              <w:bottom w:val="single" w:sz="18" w:space="0" w:color="auto"/>
            </w:tcBorders>
            <w:vAlign w:val="center"/>
          </w:tcPr>
          <w:p w14:paraId="58B69D01" w14:textId="4E63CF84" w:rsidR="00FF7AE3" w:rsidRPr="0078643B" w:rsidRDefault="00FF7AE3" w:rsidP="00FF7AE3">
            <w:pPr>
              <w:spacing w:line="480" w:lineRule="auto"/>
              <w:jc w:val="center"/>
              <w:rPr>
                <w:b/>
                <w:sz w:val="20"/>
                <w:szCs w:val="16"/>
              </w:rPr>
            </w:pPr>
            <w:r>
              <w:rPr>
                <w:b/>
                <w:sz w:val="20"/>
                <w:szCs w:val="16"/>
              </w:rPr>
              <w:t>0</w:t>
            </w:r>
          </w:p>
        </w:tc>
      </w:tr>
      <w:tr w:rsidR="00E03340" w:rsidRPr="0078643B" w14:paraId="45D42EF3" w14:textId="66E60BDE" w:rsidTr="00FF7AE3">
        <w:tc>
          <w:tcPr>
            <w:tcW w:w="2564" w:type="dxa"/>
            <w:tcBorders>
              <w:top w:val="single" w:sz="18" w:space="0" w:color="auto"/>
            </w:tcBorders>
          </w:tcPr>
          <w:p w14:paraId="02C85ED2" w14:textId="77777777" w:rsidR="00E03340" w:rsidRPr="0078643B" w:rsidRDefault="00E03340" w:rsidP="0078643B">
            <w:pPr>
              <w:spacing w:line="480" w:lineRule="auto"/>
              <w:jc w:val="both"/>
              <w:rPr>
                <w:sz w:val="16"/>
                <w:szCs w:val="16"/>
              </w:rPr>
            </w:pPr>
            <w:r w:rsidRPr="0078643B">
              <w:rPr>
                <w:sz w:val="16"/>
                <w:szCs w:val="16"/>
              </w:rPr>
              <w:t>Identity and mandate</w:t>
            </w:r>
          </w:p>
        </w:tc>
        <w:tc>
          <w:tcPr>
            <w:tcW w:w="2384" w:type="dxa"/>
            <w:tcBorders>
              <w:top w:val="single" w:sz="18" w:space="0" w:color="auto"/>
            </w:tcBorders>
          </w:tcPr>
          <w:p w14:paraId="5BEA47DF" w14:textId="77777777" w:rsidR="00E03340" w:rsidRPr="0078643B" w:rsidRDefault="00E03340" w:rsidP="00E03340">
            <w:pPr>
              <w:jc w:val="both"/>
              <w:rPr>
                <w:sz w:val="16"/>
                <w:szCs w:val="16"/>
              </w:rPr>
            </w:pPr>
            <w:r w:rsidRPr="0078643B">
              <w:rPr>
                <w:sz w:val="16"/>
                <w:szCs w:val="16"/>
              </w:rPr>
              <w:t>Messages that aim to inform the audience about reasons as to why the EU, its institutions and bureaucrats exist and have a political role</w:t>
            </w:r>
          </w:p>
        </w:tc>
        <w:tc>
          <w:tcPr>
            <w:tcW w:w="2158" w:type="dxa"/>
            <w:tcBorders>
              <w:top w:val="single" w:sz="18" w:space="0" w:color="auto"/>
            </w:tcBorders>
          </w:tcPr>
          <w:p w14:paraId="2C8076DF" w14:textId="67BE2B30" w:rsidR="00E03340" w:rsidRPr="0078643B" w:rsidRDefault="00D720F2" w:rsidP="00A44746">
            <w:pPr>
              <w:spacing w:line="480" w:lineRule="auto"/>
              <w:jc w:val="center"/>
              <w:rPr>
                <w:sz w:val="16"/>
                <w:szCs w:val="16"/>
              </w:rPr>
            </w:pPr>
            <w:r>
              <w:rPr>
                <w:sz w:val="16"/>
                <w:szCs w:val="16"/>
              </w:rPr>
              <w:t>72</w:t>
            </w:r>
          </w:p>
        </w:tc>
        <w:tc>
          <w:tcPr>
            <w:tcW w:w="2158" w:type="dxa"/>
            <w:tcBorders>
              <w:top w:val="single" w:sz="18" w:space="0" w:color="auto"/>
            </w:tcBorders>
          </w:tcPr>
          <w:p w14:paraId="226227C1" w14:textId="3348FDF7" w:rsidR="00E03340" w:rsidRPr="0078643B" w:rsidRDefault="00EF7DA7" w:rsidP="00A44746">
            <w:pPr>
              <w:spacing w:line="480" w:lineRule="auto"/>
              <w:jc w:val="center"/>
              <w:rPr>
                <w:sz w:val="16"/>
                <w:szCs w:val="16"/>
              </w:rPr>
            </w:pPr>
            <w:r w:rsidRPr="00EF7DA7">
              <w:rPr>
                <w:sz w:val="16"/>
                <w:szCs w:val="16"/>
              </w:rPr>
              <w:t>756</w:t>
            </w:r>
          </w:p>
        </w:tc>
      </w:tr>
      <w:tr w:rsidR="00E03340" w:rsidRPr="0078643B" w14:paraId="005A25EF" w14:textId="16FF62D3" w:rsidTr="00FF7AE3">
        <w:tc>
          <w:tcPr>
            <w:tcW w:w="2564" w:type="dxa"/>
          </w:tcPr>
          <w:p w14:paraId="164711F7" w14:textId="77777777" w:rsidR="00E03340" w:rsidRPr="0078643B" w:rsidRDefault="00E03340" w:rsidP="0078643B">
            <w:pPr>
              <w:spacing w:line="480" w:lineRule="auto"/>
              <w:jc w:val="both"/>
              <w:rPr>
                <w:sz w:val="16"/>
                <w:szCs w:val="16"/>
              </w:rPr>
            </w:pPr>
          </w:p>
        </w:tc>
        <w:tc>
          <w:tcPr>
            <w:tcW w:w="2384" w:type="dxa"/>
          </w:tcPr>
          <w:p w14:paraId="3F88DB84" w14:textId="77777777" w:rsidR="00E03340" w:rsidRPr="0078643B" w:rsidRDefault="00E03340" w:rsidP="00E03340">
            <w:pPr>
              <w:jc w:val="both"/>
              <w:rPr>
                <w:sz w:val="16"/>
                <w:szCs w:val="16"/>
              </w:rPr>
            </w:pPr>
          </w:p>
        </w:tc>
        <w:tc>
          <w:tcPr>
            <w:tcW w:w="2158" w:type="dxa"/>
          </w:tcPr>
          <w:p w14:paraId="565D335E" w14:textId="77777777" w:rsidR="00E03340" w:rsidRPr="0078643B" w:rsidRDefault="00E03340" w:rsidP="00A44746">
            <w:pPr>
              <w:spacing w:line="480" w:lineRule="auto"/>
              <w:jc w:val="center"/>
              <w:rPr>
                <w:sz w:val="16"/>
                <w:szCs w:val="16"/>
              </w:rPr>
            </w:pPr>
          </w:p>
        </w:tc>
        <w:tc>
          <w:tcPr>
            <w:tcW w:w="2158" w:type="dxa"/>
          </w:tcPr>
          <w:p w14:paraId="5E7EEE4D" w14:textId="2A889F8A" w:rsidR="00E03340" w:rsidRPr="0078643B" w:rsidRDefault="00E03340" w:rsidP="00A44746">
            <w:pPr>
              <w:spacing w:line="480" w:lineRule="auto"/>
              <w:jc w:val="center"/>
              <w:rPr>
                <w:sz w:val="16"/>
                <w:szCs w:val="16"/>
              </w:rPr>
            </w:pPr>
          </w:p>
        </w:tc>
      </w:tr>
      <w:tr w:rsidR="00E03340" w:rsidRPr="0078643B" w14:paraId="7B85BC17" w14:textId="61F9B620" w:rsidTr="00FF7AE3">
        <w:tc>
          <w:tcPr>
            <w:tcW w:w="2564" w:type="dxa"/>
          </w:tcPr>
          <w:p w14:paraId="1B3DC11E" w14:textId="77777777" w:rsidR="00E03340" w:rsidRPr="0078643B" w:rsidRDefault="00E03340" w:rsidP="0078643B">
            <w:pPr>
              <w:spacing w:line="480" w:lineRule="auto"/>
              <w:jc w:val="both"/>
              <w:rPr>
                <w:sz w:val="16"/>
                <w:szCs w:val="16"/>
              </w:rPr>
            </w:pPr>
            <w:r w:rsidRPr="0078643B">
              <w:rPr>
                <w:sz w:val="16"/>
                <w:szCs w:val="16"/>
              </w:rPr>
              <w:t>Output</w:t>
            </w:r>
          </w:p>
        </w:tc>
        <w:tc>
          <w:tcPr>
            <w:tcW w:w="2384" w:type="dxa"/>
          </w:tcPr>
          <w:p w14:paraId="2B26688D" w14:textId="77777777" w:rsidR="00E03340" w:rsidRPr="0078643B" w:rsidRDefault="00E03340" w:rsidP="00E03340">
            <w:pPr>
              <w:jc w:val="both"/>
              <w:rPr>
                <w:sz w:val="16"/>
                <w:szCs w:val="16"/>
              </w:rPr>
            </w:pPr>
            <w:r w:rsidRPr="0078643B">
              <w:rPr>
                <w:sz w:val="16"/>
                <w:szCs w:val="16"/>
              </w:rPr>
              <w:t>Messages that provide an update and information on political operations, policies, programs, reports published by the EU, its institutions, or its bureaucrats</w:t>
            </w:r>
          </w:p>
        </w:tc>
        <w:tc>
          <w:tcPr>
            <w:tcW w:w="2158" w:type="dxa"/>
          </w:tcPr>
          <w:p w14:paraId="375FB1C0" w14:textId="276C913E" w:rsidR="00E03340" w:rsidRPr="0078643B" w:rsidRDefault="00EF7DA7" w:rsidP="00A44746">
            <w:pPr>
              <w:spacing w:line="480" w:lineRule="auto"/>
              <w:jc w:val="center"/>
              <w:rPr>
                <w:sz w:val="16"/>
                <w:szCs w:val="16"/>
              </w:rPr>
            </w:pPr>
            <w:r w:rsidRPr="00EF7DA7">
              <w:rPr>
                <w:sz w:val="16"/>
                <w:szCs w:val="16"/>
              </w:rPr>
              <w:t>449</w:t>
            </w:r>
          </w:p>
        </w:tc>
        <w:tc>
          <w:tcPr>
            <w:tcW w:w="2158" w:type="dxa"/>
          </w:tcPr>
          <w:p w14:paraId="43CCC257" w14:textId="2BF117CA" w:rsidR="00E03340" w:rsidRPr="0078643B" w:rsidRDefault="00EF7DA7" w:rsidP="00A44746">
            <w:pPr>
              <w:spacing w:line="480" w:lineRule="auto"/>
              <w:jc w:val="center"/>
              <w:rPr>
                <w:sz w:val="16"/>
                <w:szCs w:val="16"/>
              </w:rPr>
            </w:pPr>
            <w:r w:rsidRPr="00EF7DA7">
              <w:rPr>
                <w:sz w:val="16"/>
                <w:szCs w:val="16"/>
              </w:rPr>
              <w:t>379</w:t>
            </w:r>
          </w:p>
        </w:tc>
      </w:tr>
      <w:tr w:rsidR="00E03340" w:rsidRPr="0078643B" w14:paraId="39DC2B56" w14:textId="1F7E51E3" w:rsidTr="00FF7AE3">
        <w:tc>
          <w:tcPr>
            <w:tcW w:w="2564" w:type="dxa"/>
          </w:tcPr>
          <w:p w14:paraId="5C390CAE" w14:textId="77777777" w:rsidR="00E03340" w:rsidRPr="0078643B" w:rsidRDefault="00E03340" w:rsidP="0078643B">
            <w:pPr>
              <w:spacing w:line="480" w:lineRule="auto"/>
              <w:jc w:val="both"/>
              <w:rPr>
                <w:sz w:val="16"/>
                <w:szCs w:val="16"/>
              </w:rPr>
            </w:pPr>
          </w:p>
        </w:tc>
        <w:tc>
          <w:tcPr>
            <w:tcW w:w="2384" w:type="dxa"/>
          </w:tcPr>
          <w:p w14:paraId="13A847EE" w14:textId="77777777" w:rsidR="00E03340" w:rsidRPr="0078643B" w:rsidRDefault="00E03340" w:rsidP="00E03340">
            <w:pPr>
              <w:jc w:val="both"/>
              <w:rPr>
                <w:sz w:val="16"/>
                <w:szCs w:val="16"/>
              </w:rPr>
            </w:pPr>
          </w:p>
        </w:tc>
        <w:tc>
          <w:tcPr>
            <w:tcW w:w="2158" w:type="dxa"/>
          </w:tcPr>
          <w:p w14:paraId="33410073" w14:textId="77777777" w:rsidR="00E03340" w:rsidRPr="0078643B" w:rsidRDefault="00E03340" w:rsidP="00A44746">
            <w:pPr>
              <w:spacing w:line="480" w:lineRule="auto"/>
              <w:jc w:val="center"/>
              <w:rPr>
                <w:sz w:val="16"/>
                <w:szCs w:val="16"/>
              </w:rPr>
            </w:pPr>
          </w:p>
        </w:tc>
        <w:tc>
          <w:tcPr>
            <w:tcW w:w="2158" w:type="dxa"/>
          </w:tcPr>
          <w:p w14:paraId="4C182564" w14:textId="3AF06434" w:rsidR="00E03340" w:rsidRPr="0078643B" w:rsidRDefault="00E03340" w:rsidP="00A44746">
            <w:pPr>
              <w:spacing w:line="480" w:lineRule="auto"/>
              <w:jc w:val="center"/>
              <w:rPr>
                <w:sz w:val="16"/>
                <w:szCs w:val="16"/>
              </w:rPr>
            </w:pPr>
          </w:p>
        </w:tc>
      </w:tr>
      <w:tr w:rsidR="00E03340" w:rsidRPr="0078643B" w14:paraId="5BA53671" w14:textId="01EF1D87" w:rsidTr="00FF7AE3">
        <w:tc>
          <w:tcPr>
            <w:tcW w:w="2564" w:type="dxa"/>
          </w:tcPr>
          <w:p w14:paraId="51C71DD0" w14:textId="77777777" w:rsidR="00E03340" w:rsidRPr="0078643B" w:rsidRDefault="00E03340" w:rsidP="0078643B">
            <w:pPr>
              <w:spacing w:line="480" w:lineRule="auto"/>
              <w:jc w:val="both"/>
              <w:rPr>
                <w:sz w:val="16"/>
                <w:szCs w:val="16"/>
              </w:rPr>
            </w:pPr>
            <w:r w:rsidRPr="0078643B">
              <w:rPr>
                <w:sz w:val="16"/>
                <w:szCs w:val="16"/>
              </w:rPr>
              <w:t>Activity</w:t>
            </w:r>
          </w:p>
        </w:tc>
        <w:tc>
          <w:tcPr>
            <w:tcW w:w="2384" w:type="dxa"/>
          </w:tcPr>
          <w:p w14:paraId="5ECF8EC6" w14:textId="77777777" w:rsidR="00E03340" w:rsidRPr="0078643B" w:rsidRDefault="00E03340" w:rsidP="00E03340">
            <w:pPr>
              <w:jc w:val="both"/>
              <w:rPr>
                <w:sz w:val="16"/>
                <w:szCs w:val="16"/>
              </w:rPr>
            </w:pPr>
            <w:r w:rsidRPr="0078643B">
              <w:rPr>
                <w:sz w:val="16"/>
                <w:szCs w:val="16"/>
              </w:rPr>
              <w:t>Tweets containing activities such as:  meetings, handshakes, travel, signing documents, conference participation by officials that show actions or events taking place outside of Twitter. This could be actions by the account holder or others.</w:t>
            </w:r>
          </w:p>
        </w:tc>
        <w:tc>
          <w:tcPr>
            <w:tcW w:w="2158" w:type="dxa"/>
          </w:tcPr>
          <w:p w14:paraId="4409435F" w14:textId="365D260B" w:rsidR="00E03340" w:rsidRPr="0078643B" w:rsidRDefault="00EF7DA7" w:rsidP="00A44746">
            <w:pPr>
              <w:spacing w:line="480" w:lineRule="auto"/>
              <w:jc w:val="center"/>
              <w:rPr>
                <w:sz w:val="16"/>
                <w:szCs w:val="16"/>
              </w:rPr>
            </w:pPr>
            <w:r w:rsidRPr="00EF7DA7">
              <w:rPr>
                <w:sz w:val="16"/>
                <w:szCs w:val="16"/>
              </w:rPr>
              <w:t>302</w:t>
            </w:r>
          </w:p>
        </w:tc>
        <w:tc>
          <w:tcPr>
            <w:tcW w:w="2158" w:type="dxa"/>
          </w:tcPr>
          <w:p w14:paraId="4D4C7AAA" w14:textId="2095C759" w:rsidR="00E03340" w:rsidRPr="0078643B" w:rsidRDefault="00EF7DA7" w:rsidP="00A44746">
            <w:pPr>
              <w:spacing w:line="480" w:lineRule="auto"/>
              <w:jc w:val="center"/>
              <w:rPr>
                <w:sz w:val="16"/>
                <w:szCs w:val="16"/>
              </w:rPr>
            </w:pPr>
            <w:r w:rsidRPr="00EF7DA7">
              <w:rPr>
                <w:sz w:val="16"/>
                <w:szCs w:val="16"/>
              </w:rPr>
              <w:t>526</w:t>
            </w:r>
          </w:p>
        </w:tc>
      </w:tr>
      <w:tr w:rsidR="00E03340" w:rsidRPr="0078643B" w14:paraId="6B1A9CC3" w14:textId="62A21A02" w:rsidTr="00FF7AE3">
        <w:tc>
          <w:tcPr>
            <w:tcW w:w="2564" w:type="dxa"/>
          </w:tcPr>
          <w:p w14:paraId="1ADE0CA1" w14:textId="77777777" w:rsidR="00E03340" w:rsidRPr="0078643B" w:rsidRDefault="00E03340" w:rsidP="0078643B">
            <w:pPr>
              <w:spacing w:line="480" w:lineRule="auto"/>
              <w:jc w:val="both"/>
              <w:rPr>
                <w:sz w:val="16"/>
                <w:szCs w:val="16"/>
              </w:rPr>
            </w:pPr>
          </w:p>
        </w:tc>
        <w:tc>
          <w:tcPr>
            <w:tcW w:w="2384" w:type="dxa"/>
          </w:tcPr>
          <w:p w14:paraId="539736B5" w14:textId="77777777" w:rsidR="00E03340" w:rsidRPr="0078643B" w:rsidRDefault="00E03340" w:rsidP="00E03340">
            <w:pPr>
              <w:jc w:val="both"/>
              <w:rPr>
                <w:sz w:val="16"/>
                <w:szCs w:val="16"/>
              </w:rPr>
            </w:pPr>
          </w:p>
        </w:tc>
        <w:tc>
          <w:tcPr>
            <w:tcW w:w="2158" w:type="dxa"/>
          </w:tcPr>
          <w:p w14:paraId="67286F34" w14:textId="77777777" w:rsidR="00E03340" w:rsidRPr="0078643B" w:rsidRDefault="00E03340" w:rsidP="00A44746">
            <w:pPr>
              <w:spacing w:line="480" w:lineRule="auto"/>
              <w:jc w:val="center"/>
              <w:rPr>
                <w:sz w:val="16"/>
                <w:szCs w:val="16"/>
              </w:rPr>
            </w:pPr>
          </w:p>
        </w:tc>
        <w:tc>
          <w:tcPr>
            <w:tcW w:w="2158" w:type="dxa"/>
          </w:tcPr>
          <w:p w14:paraId="7FCCB735" w14:textId="1ED4DCD4" w:rsidR="00E03340" w:rsidRPr="0078643B" w:rsidRDefault="00E03340" w:rsidP="00A44746">
            <w:pPr>
              <w:spacing w:line="480" w:lineRule="auto"/>
              <w:jc w:val="center"/>
              <w:rPr>
                <w:sz w:val="16"/>
                <w:szCs w:val="16"/>
              </w:rPr>
            </w:pPr>
          </w:p>
        </w:tc>
      </w:tr>
      <w:tr w:rsidR="00E03340" w:rsidRPr="0078643B" w14:paraId="7AAB9003" w14:textId="7CCF814E" w:rsidTr="00FF7AE3">
        <w:tc>
          <w:tcPr>
            <w:tcW w:w="2564" w:type="dxa"/>
          </w:tcPr>
          <w:p w14:paraId="5B0355BF" w14:textId="77777777" w:rsidR="00E03340" w:rsidRPr="0078643B" w:rsidRDefault="00E03340" w:rsidP="0078643B">
            <w:pPr>
              <w:spacing w:line="480" w:lineRule="auto"/>
              <w:jc w:val="both"/>
              <w:rPr>
                <w:sz w:val="16"/>
                <w:szCs w:val="16"/>
              </w:rPr>
            </w:pPr>
            <w:r w:rsidRPr="0078643B">
              <w:rPr>
                <w:sz w:val="16"/>
                <w:szCs w:val="16"/>
              </w:rPr>
              <w:t>Opinion</w:t>
            </w:r>
          </w:p>
        </w:tc>
        <w:tc>
          <w:tcPr>
            <w:tcW w:w="2384" w:type="dxa"/>
          </w:tcPr>
          <w:p w14:paraId="29FD6F82" w14:textId="77777777" w:rsidR="00E03340" w:rsidRPr="0078643B" w:rsidRDefault="00E03340" w:rsidP="00E03340">
            <w:pPr>
              <w:jc w:val="both"/>
              <w:rPr>
                <w:sz w:val="16"/>
                <w:szCs w:val="16"/>
              </w:rPr>
            </w:pPr>
            <w:r w:rsidRPr="0078643B">
              <w:rPr>
                <w:sz w:val="16"/>
                <w:szCs w:val="16"/>
              </w:rPr>
              <w:t>Tweets that state the author’s preference or evaluation regarding some policy, activity, situation or institutions and actors.</w:t>
            </w:r>
          </w:p>
        </w:tc>
        <w:tc>
          <w:tcPr>
            <w:tcW w:w="2158" w:type="dxa"/>
          </w:tcPr>
          <w:p w14:paraId="6B555954" w14:textId="3063A759" w:rsidR="00E03340" w:rsidRPr="0078643B" w:rsidRDefault="00EF7DA7" w:rsidP="00A44746">
            <w:pPr>
              <w:spacing w:line="480" w:lineRule="auto"/>
              <w:jc w:val="center"/>
              <w:rPr>
                <w:sz w:val="16"/>
                <w:szCs w:val="16"/>
              </w:rPr>
            </w:pPr>
            <w:r w:rsidRPr="00EF7DA7">
              <w:rPr>
                <w:sz w:val="16"/>
                <w:szCs w:val="16"/>
              </w:rPr>
              <w:t>194</w:t>
            </w:r>
          </w:p>
        </w:tc>
        <w:tc>
          <w:tcPr>
            <w:tcW w:w="2158" w:type="dxa"/>
          </w:tcPr>
          <w:p w14:paraId="3FA093C2" w14:textId="07D353EC" w:rsidR="00E03340" w:rsidRPr="0078643B" w:rsidRDefault="00EF7DA7" w:rsidP="00A44746">
            <w:pPr>
              <w:spacing w:line="480" w:lineRule="auto"/>
              <w:jc w:val="center"/>
              <w:rPr>
                <w:sz w:val="16"/>
                <w:szCs w:val="16"/>
              </w:rPr>
            </w:pPr>
            <w:r w:rsidRPr="00EF7DA7">
              <w:rPr>
                <w:sz w:val="16"/>
                <w:szCs w:val="16"/>
              </w:rPr>
              <w:t>634</w:t>
            </w:r>
          </w:p>
        </w:tc>
      </w:tr>
      <w:tr w:rsidR="00E03340" w:rsidRPr="0078643B" w14:paraId="184FB806" w14:textId="11ECA3E9" w:rsidTr="00FF7AE3">
        <w:tc>
          <w:tcPr>
            <w:tcW w:w="2564" w:type="dxa"/>
          </w:tcPr>
          <w:p w14:paraId="55144865" w14:textId="77777777" w:rsidR="00E03340" w:rsidRPr="0078643B" w:rsidRDefault="00E03340" w:rsidP="0078643B">
            <w:pPr>
              <w:spacing w:line="480" w:lineRule="auto"/>
              <w:jc w:val="both"/>
              <w:rPr>
                <w:sz w:val="16"/>
                <w:szCs w:val="16"/>
              </w:rPr>
            </w:pPr>
          </w:p>
        </w:tc>
        <w:tc>
          <w:tcPr>
            <w:tcW w:w="2384" w:type="dxa"/>
          </w:tcPr>
          <w:p w14:paraId="062A1AB8" w14:textId="77777777" w:rsidR="00E03340" w:rsidRPr="0078643B" w:rsidRDefault="00E03340" w:rsidP="00E03340">
            <w:pPr>
              <w:jc w:val="both"/>
              <w:rPr>
                <w:sz w:val="16"/>
                <w:szCs w:val="16"/>
              </w:rPr>
            </w:pPr>
          </w:p>
        </w:tc>
        <w:tc>
          <w:tcPr>
            <w:tcW w:w="2158" w:type="dxa"/>
          </w:tcPr>
          <w:p w14:paraId="25CDAF34" w14:textId="77777777" w:rsidR="00E03340" w:rsidRPr="0078643B" w:rsidRDefault="00E03340" w:rsidP="00A44746">
            <w:pPr>
              <w:spacing w:line="480" w:lineRule="auto"/>
              <w:jc w:val="center"/>
              <w:rPr>
                <w:sz w:val="16"/>
                <w:szCs w:val="16"/>
              </w:rPr>
            </w:pPr>
          </w:p>
        </w:tc>
        <w:tc>
          <w:tcPr>
            <w:tcW w:w="2158" w:type="dxa"/>
          </w:tcPr>
          <w:p w14:paraId="3E58D665" w14:textId="7E949965" w:rsidR="00E03340" w:rsidRPr="0078643B" w:rsidRDefault="00E03340" w:rsidP="00A44746">
            <w:pPr>
              <w:spacing w:line="480" w:lineRule="auto"/>
              <w:jc w:val="center"/>
              <w:rPr>
                <w:sz w:val="16"/>
                <w:szCs w:val="16"/>
              </w:rPr>
            </w:pPr>
          </w:p>
        </w:tc>
      </w:tr>
      <w:tr w:rsidR="00E03340" w:rsidRPr="0078643B" w14:paraId="554F6A2B" w14:textId="4907F0CD" w:rsidTr="00FF7AE3">
        <w:tc>
          <w:tcPr>
            <w:tcW w:w="2564" w:type="dxa"/>
          </w:tcPr>
          <w:p w14:paraId="2D9527B2" w14:textId="77777777" w:rsidR="00E03340" w:rsidRPr="0078643B" w:rsidRDefault="00E03340" w:rsidP="0078643B">
            <w:pPr>
              <w:spacing w:line="480" w:lineRule="auto"/>
              <w:jc w:val="both"/>
              <w:rPr>
                <w:sz w:val="16"/>
                <w:szCs w:val="16"/>
              </w:rPr>
            </w:pPr>
            <w:r w:rsidRPr="0078643B">
              <w:rPr>
                <w:sz w:val="16"/>
                <w:szCs w:val="16"/>
              </w:rPr>
              <w:t>Other</w:t>
            </w:r>
          </w:p>
        </w:tc>
        <w:tc>
          <w:tcPr>
            <w:tcW w:w="2384" w:type="dxa"/>
          </w:tcPr>
          <w:p w14:paraId="4E20A464" w14:textId="77777777" w:rsidR="00E03340" w:rsidRPr="0078643B" w:rsidRDefault="00E03340" w:rsidP="00E03340">
            <w:pPr>
              <w:jc w:val="both"/>
              <w:rPr>
                <w:sz w:val="16"/>
                <w:szCs w:val="16"/>
              </w:rPr>
            </w:pPr>
            <w:r w:rsidRPr="0078643B">
              <w:rPr>
                <w:sz w:val="16"/>
                <w:szCs w:val="16"/>
              </w:rPr>
              <w:t>Tweets that do not pertain to political or day to day operations defined in author’s mandate such as job announcements or trivia information.</w:t>
            </w:r>
          </w:p>
        </w:tc>
        <w:tc>
          <w:tcPr>
            <w:tcW w:w="2158" w:type="dxa"/>
          </w:tcPr>
          <w:p w14:paraId="2BCF4D0E" w14:textId="3CB66B7B" w:rsidR="00E03340" w:rsidRPr="0078643B" w:rsidRDefault="00D2707F" w:rsidP="00A44746">
            <w:pPr>
              <w:spacing w:line="480" w:lineRule="auto"/>
              <w:jc w:val="center"/>
              <w:rPr>
                <w:sz w:val="16"/>
                <w:szCs w:val="16"/>
              </w:rPr>
            </w:pPr>
            <w:r w:rsidRPr="00D2707F">
              <w:rPr>
                <w:sz w:val="16"/>
                <w:szCs w:val="16"/>
              </w:rPr>
              <w:t>68</w:t>
            </w:r>
          </w:p>
        </w:tc>
        <w:tc>
          <w:tcPr>
            <w:tcW w:w="2158" w:type="dxa"/>
          </w:tcPr>
          <w:p w14:paraId="50ADD305" w14:textId="15207622" w:rsidR="00E03340" w:rsidRPr="0078643B" w:rsidRDefault="00D2707F" w:rsidP="00A44746">
            <w:pPr>
              <w:spacing w:line="480" w:lineRule="auto"/>
              <w:jc w:val="center"/>
              <w:rPr>
                <w:sz w:val="16"/>
                <w:szCs w:val="16"/>
              </w:rPr>
            </w:pPr>
            <w:r w:rsidRPr="00D2707F">
              <w:rPr>
                <w:sz w:val="16"/>
                <w:szCs w:val="16"/>
              </w:rPr>
              <w:t>760</w:t>
            </w:r>
          </w:p>
        </w:tc>
      </w:tr>
      <w:tr w:rsidR="00E03340" w:rsidRPr="0078643B" w14:paraId="1CC148CE" w14:textId="70CA6460" w:rsidTr="00D2707F">
        <w:tc>
          <w:tcPr>
            <w:tcW w:w="2564" w:type="dxa"/>
          </w:tcPr>
          <w:p w14:paraId="7FA5A7A2" w14:textId="77777777" w:rsidR="00E03340" w:rsidRPr="0078643B" w:rsidRDefault="00E03340" w:rsidP="0078643B">
            <w:pPr>
              <w:spacing w:line="480" w:lineRule="auto"/>
              <w:jc w:val="both"/>
              <w:rPr>
                <w:sz w:val="16"/>
                <w:szCs w:val="16"/>
              </w:rPr>
            </w:pPr>
          </w:p>
        </w:tc>
        <w:tc>
          <w:tcPr>
            <w:tcW w:w="2384" w:type="dxa"/>
          </w:tcPr>
          <w:p w14:paraId="111CE671" w14:textId="77777777" w:rsidR="00E03340" w:rsidRPr="0078643B" w:rsidRDefault="00E03340" w:rsidP="00E03340">
            <w:pPr>
              <w:jc w:val="both"/>
              <w:rPr>
                <w:sz w:val="16"/>
                <w:szCs w:val="16"/>
              </w:rPr>
            </w:pPr>
          </w:p>
        </w:tc>
        <w:tc>
          <w:tcPr>
            <w:tcW w:w="2158" w:type="dxa"/>
          </w:tcPr>
          <w:p w14:paraId="32292FD2" w14:textId="77777777" w:rsidR="00E03340" w:rsidRPr="0078643B" w:rsidRDefault="00E03340" w:rsidP="00A44746">
            <w:pPr>
              <w:spacing w:line="480" w:lineRule="auto"/>
              <w:jc w:val="center"/>
              <w:rPr>
                <w:sz w:val="16"/>
                <w:szCs w:val="16"/>
              </w:rPr>
            </w:pPr>
          </w:p>
        </w:tc>
        <w:tc>
          <w:tcPr>
            <w:tcW w:w="2158" w:type="dxa"/>
          </w:tcPr>
          <w:p w14:paraId="1F79BD4C" w14:textId="070A5345" w:rsidR="00E03340" w:rsidRPr="0078643B" w:rsidRDefault="00E03340" w:rsidP="00A44746">
            <w:pPr>
              <w:spacing w:line="480" w:lineRule="auto"/>
              <w:jc w:val="center"/>
              <w:rPr>
                <w:sz w:val="16"/>
                <w:szCs w:val="16"/>
              </w:rPr>
            </w:pPr>
          </w:p>
        </w:tc>
      </w:tr>
      <w:tr w:rsidR="00E03340" w:rsidRPr="0078643B" w14:paraId="3483D178" w14:textId="4E5C439A" w:rsidTr="00D2707F">
        <w:tc>
          <w:tcPr>
            <w:tcW w:w="2564" w:type="dxa"/>
            <w:tcBorders>
              <w:bottom w:val="single" w:sz="18" w:space="0" w:color="auto"/>
            </w:tcBorders>
          </w:tcPr>
          <w:p w14:paraId="732E5671" w14:textId="77777777" w:rsidR="00E03340" w:rsidRPr="0078643B" w:rsidRDefault="00E03340" w:rsidP="0078643B">
            <w:pPr>
              <w:spacing w:line="480" w:lineRule="auto"/>
              <w:jc w:val="both"/>
              <w:rPr>
                <w:sz w:val="16"/>
                <w:szCs w:val="16"/>
              </w:rPr>
            </w:pPr>
            <w:r w:rsidRPr="0078643B">
              <w:rPr>
                <w:sz w:val="16"/>
                <w:szCs w:val="16"/>
              </w:rPr>
              <w:t>Input seeking</w:t>
            </w:r>
          </w:p>
        </w:tc>
        <w:tc>
          <w:tcPr>
            <w:tcW w:w="2384" w:type="dxa"/>
            <w:tcBorders>
              <w:bottom w:val="single" w:sz="18" w:space="0" w:color="auto"/>
            </w:tcBorders>
          </w:tcPr>
          <w:p w14:paraId="53B727EF" w14:textId="77777777" w:rsidR="00E03340" w:rsidRPr="0078643B" w:rsidRDefault="00E03340" w:rsidP="00E03340">
            <w:pPr>
              <w:jc w:val="both"/>
              <w:rPr>
                <w:sz w:val="16"/>
                <w:szCs w:val="16"/>
              </w:rPr>
            </w:pPr>
            <w:r w:rsidRPr="0078643B">
              <w:rPr>
                <w:sz w:val="16"/>
                <w:szCs w:val="16"/>
              </w:rPr>
              <w:t>Tweets that seek feedback, input, or opinions of stakeholders or the wider audience on political operations of the EU.</w:t>
            </w:r>
          </w:p>
        </w:tc>
        <w:tc>
          <w:tcPr>
            <w:tcW w:w="2158" w:type="dxa"/>
            <w:tcBorders>
              <w:bottom w:val="single" w:sz="18" w:space="0" w:color="auto"/>
            </w:tcBorders>
          </w:tcPr>
          <w:p w14:paraId="0D571470" w14:textId="78D72EB8" w:rsidR="00E03340" w:rsidRPr="0078643B" w:rsidRDefault="00D2707F" w:rsidP="00A44746">
            <w:pPr>
              <w:spacing w:line="480" w:lineRule="auto"/>
              <w:jc w:val="center"/>
              <w:rPr>
                <w:sz w:val="16"/>
                <w:szCs w:val="16"/>
              </w:rPr>
            </w:pPr>
            <w:r w:rsidRPr="00D2707F">
              <w:rPr>
                <w:sz w:val="16"/>
                <w:szCs w:val="16"/>
              </w:rPr>
              <w:t>25</w:t>
            </w:r>
          </w:p>
        </w:tc>
        <w:tc>
          <w:tcPr>
            <w:tcW w:w="2158" w:type="dxa"/>
            <w:tcBorders>
              <w:bottom w:val="single" w:sz="18" w:space="0" w:color="auto"/>
            </w:tcBorders>
          </w:tcPr>
          <w:p w14:paraId="449A460F" w14:textId="4AADD88F" w:rsidR="00E03340" w:rsidRPr="0078643B" w:rsidRDefault="00D2707F" w:rsidP="00A44746">
            <w:pPr>
              <w:spacing w:line="480" w:lineRule="auto"/>
              <w:jc w:val="center"/>
              <w:rPr>
                <w:sz w:val="16"/>
                <w:szCs w:val="16"/>
              </w:rPr>
            </w:pPr>
            <w:r w:rsidRPr="00D2707F">
              <w:rPr>
                <w:sz w:val="16"/>
                <w:szCs w:val="16"/>
              </w:rPr>
              <w:t>803</w:t>
            </w:r>
          </w:p>
        </w:tc>
      </w:tr>
    </w:tbl>
    <w:p w14:paraId="6FB6F864" w14:textId="3D0599D0" w:rsidR="00702EE2" w:rsidRDefault="00702EE2" w:rsidP="00920701">
      <w:pPr>
        <w:jc w:val="both"/>
      </w:pPr>
    </w:p>
    <w:p w14:paraId="1AEA9469" w14:textId="344C3D70" w:rsidR="00DF6B0E" w:rsidRDefault="00DF6B0E" w:rsidP="00920701">
      <w:pPr>
        <w:jc w:val="both"/>
      </w:pPr>
    </w:p>
    <w:p w14:paraId="6BDDBB7D" w14:textId="346EA764" w:rsidR="00DF6B0E" w:rsidRDefault="00DF6B0E" w:rsidP="00920701">
      <w:pPr>
        <w:jc w:val="both"/>
      </w:pPr>
    </w:p>
    <w:p w14:paraId="70B68901" w14:textId="77777777" w:rsidR="00DF6B0E" w:rsidRDefault="00DF6B0E" w:rsidP="00DF6B0E">
      <w:pPr>
        <w:keepNext/>
        <w:jc w:val="both"/>
      </w:pPr>
      <w:r>
        <w:rPr>
          <w:noProof/>
        </w:rPr>
        <w:drawing>
          <wp:inline distT="0" distB="0" distL="0" distR="0" wp14:anchorId="326E9702" wp14:editId="5C9258F7">
            <wp:extent cx="5972810" cy="3074670"/>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3074670"/>
                    </a:xfrm>
                    <a:prstGeom prst="rect">
                      <a:avLst/>
                    </a:prstGeom>
                  </pic:spPr>
                </pic:pic>
              </a:graphicData>
            </a:graphic>
          </wp:inline>
        </w:drawing>
      </w:r>
    </w:p>
    <w:p w14:paraId="14188045" w14:textId="6C250873" w:rsidR="00DF6B0E" w:rsidRDefault="00DF6B0E" w:rsidP="00DF6B0E">
      <w:pPr>
        <w:pStyle w:val="Caption"/>
        <w:jc w:val="both"/>
      </w:pPr>
      <w:r>
        <w:t xml:space="preserve">Figure </w:t>
      </w:r>
      <w:fldSimple w:instr=" SEQ Figure \* ARABIC ">
        <w:r>
          <w:rPr>
            <w:noProof/>
          </w:rPr>
          <w:t>1</w:t>
        </w:r>
      </w:fldSimple>
      <w:r>
        <w:t>: Example tweets</w:t>
      </w:r>
    </w:p>
    <w:p w14:paraId="63C21059" w14:textId="26FA07D1" w:rsidR="00DF6B0E" w:rsidRDefault="00DF6B0E" w:rsidP="00DF6B0E"/>
    <w:p w14:paraId="610A9C77" w14:textId="602109D3" w:rsidR="00DF6B0E" w:rsidRDefault="00DF6B0E" w:rsidP="0025689C">
      <w:pPr>
        <w:jc w:val="both"/>
      </w:pPr>
      <w:r>
        <w:t xml:space="preserve">In our experiment, we take each category as a separate binary outcome and </w:t>
      </w:r>
      <w:r w:rsidR="00D80927">
        <w:t xml:space="preserve">learn individual SL and DL predictive models for them. From SL classification family we use </w:t>
      </w:r>
      <w:r w:rsidR="00C74B02">
        <w:t xml:space="preserve">Naïve </w:t>
      </w:r>
      <w:r w:rsidR="0025689C">
        <w:t>Bayes (</w:t>
      </w:r>
      <w:r w:rsidR="00C74B02">
        <w:t>NB), Support Vector Machine</w:t>
      </w:r>
      <w:r w:rsidR="0025689C">
        <w:t xml:space="preserve"> </w:t>
      </w:r>
      <w:r w:rsidR="00C74B02">
        <w:t xml:space="preserve">(SVM), </w:t>
      </w:r>
      <w:r w:rsidR="00A831D8">
        <w:t>Random Forest (RF)</w:t>
      </w:r>
      <w:r w:rsidR="00C74B02">
        <w:t>,</w:t>
      </w:r>
      <w:r w:rsidR="00093998">
        <w:t xml:space="preserve"> logistic regression</w:t>
      </w:r>
      <w:r w:rsidR="00A831D8">
        <w:t xml:space="preserve"> and </w:t>
      </w:r>
      <w:proofErr w:type="spellStart"/>
      <w:r w:rsidR="00511768">
        <w:t>XGBoost</w:t>
      </w:r>
      <w:proofErr w:type="spellEnd"/>
      <w:r w:rsidR="00C74B02">
        <w:t xml:space="preserve"> </w:t>
      </w:r>
      <w:r w:rsidR="00A831D8">
        <w:t>(XGB)</w:t>
      </w:r>
      <w:r w:rsidR="0025689C">
        <w:t xml:space="preserve"> while we use XXXX</w:t>
      </w:r>
      <w:r w:rsidR="00093998">
        <w:t xml:space="preserve"> from DL classification family</w:t>
      </w:r>
      <w:r w:rsidR="0025689C">
        <w:t>.</w:t>
      </w:r>
      <w:r w:rsidR="00455331">
        <w:t xml:space="preserve"> We extensively use </w:t>
      </w:r>
      <w:proofErr w:type="spellStart"/>
      <w:r w:rsidR="00455331">
        <w:t>Quanteda</w:t>
      </w:r>
      <w:proofErr w:type="spellEnd"/>
      <w:r w:rsidR="00191FBF">
        <w:t xml:space="preserve"> </w:t>
      </w:r>
      <w:r w:rsidR="00191FBF">
        <w:fldChar w:fldCharType="begin"/>
      </w:r>
      <w:r w:rsidR="00191FBF">
        <w:instrText xml:space="preserve"> ADDIN ZOTERO_ITEM CSL_CITATION {"citationID":"6f2oPMgS","properties":{"formattedCitation":"(Benoit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191FBF">
        <w:fldChar w:fldCharType="separate"/>
      </w:r>
      <w:r w:rsidR="00191FBF" w:rsidRPr="00191FBF">
        <w:rPr>
          <w:rFonts w:ascii="Calibri" w:hAnsi="Calibri" w:cs="Calibri"/>
        </w:rPr>
        <w:t>(Benoit et al., 2018)</w:t>
      </w:r>
      <w:r w:rsidR="00191FBF">
        <w:fldChar w:fldCharType="end"/>
      </w:r>
      <w:r w:rsidR="00455331">
        <w:t xml:space="preserve"> and </w:t>
      </w:r>
      <w:proofErr w:type="spellStart"/>
      <w:r w:rsidR="00191FBF">
        <w:t>caRet</w:t>
      </w:r>
      <w:proofErr w:type="spellEnd"/>
      <w:r w:rsidR="00191FBF">
        <w:t xml:space="preserve"> </w:t>
      </w:r>
      <w:r w:rsidR="00191FBF">
        <w:fldChar w:fldCharType="begin"/>
      </w:r>
      <w:r w:rsidR="00191FBF">
        <w:instrText xml:space="preserve"> ADDIN ZOTERO_ITEM CSL_CITATION {"citationID":"BaTdbRTZ","properties":{"formattedCitation":"(Kuhn,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191FBF">
        <w:fldChar w:fldCharType="separate"/>
      </w:r>
      <w:r w:rsidR="00191FBF" w:rsidRPr="00191FBF">
        <w:rPr>
          <w:rFonts w:ascii="Calibri" w:hAnsi="Calibri" w:cs="Calibri"/>
        </w:rPr>
        <w:t>(Kuhn, 2008)</w:t>
      </w:r>
      <w:r w:rsidR="00191FBF">
        <w:fldChar w:fldCharType="end"/>
      </w:r>
      <w:r w:rsidR="00191FBF">
        <w:t xml:space="preserve"> packages </w:t>
      </w:r>
      <w:r w:rsidR="00526AD8">
        <w:t xml:space="preserve">in R for text preprocessing </w:t>
      </w:r>
      <w:r w:rsidR="006A067E">
        <w:t>and SL models.</w:t>
      </w:r>
      <w:r w:rsidR="000D7B60">
        <w:t xml:space="preserve"> For DL models, we utilize XXXX in python.</w:t>
      </w:r>
    </w:p>
    <w:p w14:paraId="322B114A" w14:textId="4B97D71C" w:rsidR="000D7B60" w:rsidRDefault="000D7B60" w:rsidP="0025689C">
      <w:pPr>
        <w:jc w:val="both"/>
      </w:pPr>
      <w:r>
        <w:t xml:space="preserve">In our experimental setting, we test the predictive capacity of </w:t>
      </w:r>
      <w:r w:rsidR="00BD29C1">
        <w:t>these models</w:t>
      </w:r>
      <w:r>
        <w:t xml:space="preserve"> on three different datasets. First dataset contains only the</w:t>
      </w:r>
      <w:r w:rsidR="006F238D">
        <w:t xml:space="preserve"> preprocessed</w:t>
      </w:r>
      <w:r>
        <w:t xml:space="preserve"> textual part of </w:t>
      </w:r>
      <w:r w:rsidR="006F238D">
        <w:t xml:space="preserve">sampled tweets. The second dataset contains the only the preprocessed images. </w:t>
      </w:r>
      <w:r w:rsidR="00B17927">
        <w:t xml:space="preserve">The third dataset combines textual and visual elements as input data. </w:t>
      </w:r>
      <w:r w:rsidR="00F5602B">
        <w:t xml:space="preserve">We, then, learned separate models for binary outcomes for six categories. Finally, we compare the predictive capacity of all models across three different datasets </w:t>
      </w:r>
      <w:r w:rsidR="004E1A07">
        <w:t>using F1 scores.</w:t>
      </w:r>
    </w:p>
    <w:p w14:paraId="46AD3DAD" w14:textId="0DFFF443" w:rsidR="004E1A07" w:rsidRDefault="004E1A07" w:rsidP="0025689C">
      <w:pPr>
        <w:jc w:val="both"/>
      </w:pPr>
    </w:p>
    <w:p w14:paraId="2F4A6F3B" w14:textId="7473CFD3" w:rsidR="00B31AF7" w:rsidRDefault="00B31AF7" w:rsidP="0025689C">
      <w:pPr>
        <w:jc w:val="both"/>
      </w:pPr>
    </w:p>
    <w:p w14:paraId="19F8B8D5" w14:textId="75D77B7F" w:rsidR="005B7138" w:rsidRDefault="005B7138" w:rsidP="0025689C">
      <w:pPr>
        <w:jc w:val="both"/>
      </w:pPr>
    </w:p>
    <w:p w14:paraId="66A9B936" w14:textId="1833330C" w:rsidR="005B7138" w:rsidRDefault="005B7138" w:rsidP="0025689C">
      <w:pPr>
        <w:jc w:val="both"/>
      </w:pPr>
    </w:p>
    <w:p w14:paraId="7F3A1272" w14:textId="77777777" w:rsidR="005B7138" w:rsidRDefault="005B7138" w:rsidP="0025689C">
      <w:pPr>
        <w:jc w:val="both"/>
      </w:pPr>
    </w:p>
    <w:p w14:paraId="7B7CB30A" w14:textId="47AD6B42" w:rsidR="00BD29C1" w:rsidRDefault="00BD29C1" w:rsidP="00BD29C1">
      <w:pPr>
        <w:pStyle w:val="Heading1"/>
      </w:pPr>
      <w:r>
        <w:t>Results:</w:t>
      </w:r>
    </w:p>
    <w:sectPr w:rsidR="00BD29C1">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E0A7" w14:textId="77777777" w:rsidR="00E31144" w:rsidRDefault="00E31144" w:rsidP="00454916">
      <w:pPr>
        <w:spacing w:after="0" w:line="240" w:lineRule="auto"/>
      </w:pPr>
      <w:r>
        <w:separator/>
      </w:r>
    </w:p>
  </w:endnote>
  <w:endnote w:type="continuationSeparator" w:id="0">
    <w:p w14:paraId="12AC19C7" w14:textId="77777777" w:rsidR="00E31144" w:rsidRDefault="00E31144" w:rsidP="0045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71704" w14:textId="77777777" w:rsidR="00E31144" w:rsidRDefault="00E31144" w:rsidP="00454916">
      <w:pPr>
        <w:spacing w:after="0" w:line="240" w:lineRule="auto"/>
      </w:pPr>
      <w:r>
        <w:separator/>
      </w:r>
    </w:p>
  </w:footnote>
  <w:footnote w:type="continuationSeparator" w:id="0">
    <w:p w14:paraId="3EE9F462" w14:textId="77777777" w:rsidR="00E31144" w:rsidRDefault="00E31144" w:rsidP="00454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6C"/>
    <w:rsid w:val="00035208"/>
    <w:rsid w:val="000360D1"/>
    <w:rsid w:val="00065AEF"/>
    <w:rsid w:val="00075F17"/>
    <w:rsid w:val="00093998"/>
    <w:rsid w:val="0009560C"/>
    <w:rsid w:val="00097499"/>
    <w:rsid w:val="000B5AC2"/>
    <w:rsid w:val="000D08B2"/>
    <w:rsid w:val="000D7B60"/>
    <w:rsid w:val="000E4607"/>
    <w:rsid w:val="000E607E"/>
    <w:rsid w:val="000F618D"/>
    <w:rsid w:val="00141BB8"/>
    <w:rsid w:val="001574B9"/>
    <w:rsid w:val="00191FBF"/>
    <w:rsid w:val="001A23F7"/>
    <w:rsid w:val="001A37CC"/>
    <w:rsid w:val="001A5817"/>
    <w:rsid w:val="001D247B"/>
    <w:rsid w:val="001E4277"/>
    <w:rsid w:val="001F2B60"/>
    <w:rsid w:val="0020448F"/>
    <w:rsid w:val="00205556"/>
    <w:rsid w:val="0025689C"/>
    <w:rsid w:val="002647FB"/>
    <w:rsid w:val="002A185C"/>
    <w:rsid w:val="002B4434"/>
    <w:rsid w:val="002E4478"/>
    <w:rsid w:val="0032192B"/>
    <w:rsid w:val="00323AB0"/>
    <w:rsid w:val="00351D12"/>
    <w:rsid w:val="00364F9F"/>
    <w:rsid w:val="00382554"/>
    <w:rsid w:val="003E42DE"/>
    <w:rsid w:val="003E4D4C"/>
    <w:rsid w:val="00416B65"/>
    <w:rsid w:val="0042643B"/>
    <w:rsid w:val="00454916"/>
    <w:rsid w:val="00455331"/>
    <w:rsid w:val="00466D63"/>
    <w:rsid w:val="00485211"/>
    <w:rsid w:val="004B7A00"/>
    <w:rsid w:val="004E1A07"/>
    <w:rsid w:val="00511768"/>
    <w:rsid w:val="00526AD8"/>
    <w:rsid w:val="005425F0"/>
    <w:rsid w:val="0058201B"/>
    <w:rsid w:val="00590D9D"/>
    <w:rsid w:val="0059379B"/>
    <w:rsid w:val="00595146"/>
    <w:rsid w:val="005B7138"/>
    <w:rsid w:val="005C023C"/>
    <w:rsid w:val="005F110B"/>
    <w:rsid w:val="00672E02"/>
    <w:rsid w:val="006932B6"/>
    <w:rsid w:val="006A067E"/>
    <w:rsid w:val="006D6132"/>
    <w:rsid w:val="006E1622"/>
    <w:rsid w:val="006F01F5"/>
    <w:rsid w:val="006F238D"/>
    <w:rsid w:val="00702EE2"/>
    <w:rsid w:val="007554EF"/>
    <w:rsid w:val="0078643B"/>
    <w:rsid w:val="007B54CE"/>
    <w:rsid w:val="007D1557"/>
    <w:rsid w:val="007E03EB"/>
    <w:rsid w:val="007F7460"/>
    <w:rsid w:val="00856707"/>
    <w:rsid w:val="008B069A"/>
    <w:rsid w:val="008C0FC3"/>
    <w:rsid w:val="00920701"/>
    <w:rsid w:val="00920D1A"/>
    <w:rsid w:val="00940554"/>
    <w:rsid w:val="00970EBF"/>
    <w:rsid w:val="009B26A7"/>
    <w:rsid w:val="009B2F2D"/>
    <w:rsid w:val="009C2038"/>
    <w:rsid w:val="00A13D65"/>
    <w:rsid w:val="00A44746"/>
    <w:rsid w:val="00A46B9F"/>
    <w:rsid w:val="00A73074"/>
    <w:rsid w:val="00A8222C"/>
    <w:rsid w:val="00A831D8"/>
    <w:rsid w:val="00A9092E"/>
    <w:rsid w:val="00AB3583"/>
    <w:rsid w:val="00AF1010"/>
    <w:rsid w:val="00B1099F"/>
    <w:rsid w:val="00B17927"/>
    <w:rsid w:val="00B31AF7"/>
    <w:rsid w:val="00B3409A"/>
    <w:rsid w:val="00B3577C"/>
    <w:rsid w:val="00B70AB1"/>
    <w:rsid w:val="00B7157F"/>
    <w:rsid w:val="00BD29C1"/>
    <w:rsid w:val="00BE40F1"/>
    <w:rsid w:val="00BF166C"/>
    <w:rsid w:val="00BF175D"/>
    <w:rsid w:val="00C022F1"/>
    <w:rsid w:val="00C74B02"/>
    <w:rsid w:val="00CA0179"/>
    <w:rsid w:val="00CA27CB"/>
    <w:rsid w:val="00CB0DFA"/>
    <w:rsid w:val="00CB1CD0"/>
    <w:rsid w:val="00CC4DD4"/>
    <w:rsid w:val="00CD3649"/>
    <w:rsid w:val="00CF04C7"/>
    <w:rsid w:val="00D2707F"/>
    <w:rsid w:val="00D325C3"/>
    <w:rsid w:val="00D375F4"/>
    <w:rsid w:val="00D47401"/>
    <w:rsid w:val="00D720F2"/>
    <w:rsid w:val="00D77C4E"/>
    <w:rsid w:val="00D80927"/>
    <w:rsid w:val="00DB55E8"/>
    <w:rsid w:val="00DC6AF8"/>
    <w:rsid w:val="00DF6B0E"/>
    <w:rsid w:val="00E03340"/>
    <w:rsid w:val="00E11303"/>
    <w:rsid w:val="00E120E7"/>
    <w:rsid w:val="00E15A59"/>
    <w:rsid w:val="00E26780"/>
    <w:rsid w:val="00E31144"/>
    <w:rsid w:val="00E346AC"/>
    <w:rsid w:val="00E37D16"/>
    <w:rsid w:val="00E56E40"/>
    <w:rsid w:val="00ED0DCB"/>
    <w:rsid w:val="00EF7ABF"/>
    <w:rsid w:val="00EF7DA7"/>
    <w:rsid w:val="00F41185"/>
    <w:rsid w:val="00F5602B"/>
    <w:rsid w:val="00F716E0"/>
    <w:rsid w:val="00F71C75"/>
    <w:rsid w:val="00F97BA9"/>
    <w:rsid w:val="00FC1710"/>
    <w:rsid w:val="00FF20B6"/>
    <w:rsid w:val="00FF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A060A"/>
  <w15:chartTrackingRefBased/>
  <w15:docId w15:val="{1F3C7575-6D95-43B5-AD70-E1C17C13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6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23AB0"/>
    <w:rPr>
      <w:sz w:val="16"/>
      <w:szCs w:val="16"/>
    </w:rPr>
  </w:style>
  <w:style w:type="paragraph" w:styleId="CommentText">
    <w:name w:val="annotation text"/>
    <w:basedOn w:val="Normal"/>
    <w:link w:val="CommentTextChar"/>
    <w:uiPriority w:val="99"/>
    <w:semiHidden/>
    <w:unhideWhenUsed/>
    <w:rsid w:val="00323AB0"/>
    <w:pPr>
      <w:spacing w:line="240" w:lineRule="auto"/>
    </w:pPr>
    <w:rPr>
      <w:sz w:val="20"/>
      <w:szCs w:val="20"/>
    </w:rPr>
  </w:style>
  <w:style w:type="character" w:customStyle="1" w:styleId="CommentTextChar">
    <w:name w:val="Comment Text Char"/>
    <w:basedOn w:val="DefaultParagraphFont"/>
    <w:link w:val="CommentText"/>
    <w:uiPriority w:val="99"/>
    <w:semiHidden/>
    <w:rsid w:val="00323AB0"/>
    <w:rPr>
      <w:sz w:val="20"/>
      <w:szCs w:val="20"/>
    </w:rPr>
  </w:style>
  <w:style w:type="paragraph" w:styleId="CommentSubject">
    <w:name w:val="annotation subject"/>
    <w:basedOn w:val="CommentText"/>
    <w:next w:val="CommentText"/>
    <w:link w:val="CommentSubjectChar"/>
    <w:uiPriority w:val="99"/>
    <w:semiHidden/>
    <w:unhideWhenUsed/>
    <w:rsid w:val="00323AB0"/>
    <w:rPr>
      <w:b/>
      <w:bCs/>
    </w:rPr>
  </w:style>
  <w:style w:type="character" w:customStyle="1" w:styleId="CommentSubjectChar">
    <w:name w:val="Comment Subject Char"/>
    <w:basedOn w:val="CommentTextChar"/>
    <w:link w:val="CommentSubject"/>
    <w:uiPriority w:val="99"/>
    <w:semiHidden/>
    <w:rsid w:val="00323AB0"/>
    <w:rPr>
      <w:b/>
      <w:bCs/>
      <w:sz w:val="20"/>
      <w:szCs w:val="20"/>
    </w:rPr>
  </w:style>
  <w:style w:type="paragraph" w:styleId="BalloonText">
    <w:name w:val="Balloon Text"/>
    <w:basedOn w:val="Normal"/>
    <w:link w:val="BalloonTextChar"/>
    <w:uiPriority w:val="99"/>
    <w:semiHidden/>
    <w:unhideWhenUsed/>
    <w:rsid w:val="00323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AB0"/>
    <w:rPr>
      <w:rFonts w:ascii="Segoe UI" w:hAnsi="Segoe UI" w:cs="Segoe UI"/>
      <w:sz w:val="18"/>
      <w:szCs w:val="18"/>
    </w:rPr>
  </w:style>
  <w:style w:type="table" w:styleId="TableGrid">
    <w:name w:val="Table Grid"/>
    <w:basedOn w:val="TableNormal"/>
    <w:rsid w:val="0078643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2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90">
      <w:bodyDiv w:val="1"/>
      <w:marLeft w:val="0"/>
      <w:marRight w:val="0"/>
      <w:marTop w:val="0"/>
      <w:marBottom w:val="0"/>
      <w:divBdr>
        <w:top w:val="none" w:sz="0" w:space="0" w:color="auto"/>
        <w:left w:val="none" w:sz="0" w:space="0" w:color="auto"/>
        <w:bottom w:val="none" w:sz="0" w:space="0" w:color="auto"/>
        <w:right w:val="none" w:sz="0" w:space="0" w:color="auto"/>
      </w:divBdr>
    </w:div>
    <w:div w:id="76830913">
      <w:bodyDiv w:val="1"/>
      <w:marLeft w:val="0"/>
      <w:marRight w:val="0"/>
      <w:marTop w:val="0"/>
      <w:marBottom w:val="0"/>
      <w:divBdr>
        <w:top w:val="none" w:sz="0" w:space="0" w:color="auto"/>
        <w:left w:val="none" w:sz="0" w:space="0" w:color="auto"/>
        <w:bottom w:val="none" w:sz="0" w:space="0" w:color="auto"/>
        <w:right w:val="none" w:sz="0" w:space="0" w:color="auto"/>
      </w:divBdr>
    </w:div>
    <w:div w:id="338389122">
      <w:bodyDiv w:val="1"/>
      <w:marLeft w:val="0"/>
      <w:marRight w:val="0"/>
      <w:marTop w:val="0"/>
      <w:marBottom w:val="0"/>
      <w:divBdr>
        <w:top w:val="none" w:sz="0" w:space="0" w:color="auto"/>
        <w:left w:val="none" w:sz="0" w:space="0" w:color="auto"/>
        <w:bottom w:val="none" w:sz="0" w:space="0" w:color="auto"/>
        <w:right w:val="none" w:sz="0" w:space="0" w:color="auto"/>
      </w:divBdr>
    </w:div>
    <w:div w:id="458452343">
      <w:bodyDiv w:val="1"/>
      <w:marLeft w:val="0"/>
      <w:marRight w:val="0"/>
      <w:marTop w:val="0"/>
      <w:marBottom w:val="0"/>
      <w:divBdr>
        <w:top w:val="none" w:sz="0" w:space="0" w:color="auto"/>
        <w:left w:val="none" w:sz="0" w:space="0" w:color="auto"/>
        <w:bottom w:val="none" w:sz="0" w:space="0" w:color="auto"/>
        <w:right w:val="none" w:sz="0" w:space="0" w:color="auto"/>
      </w:divBdr>
    </w:div>
    <w:div w:id="473530214">
      <w:bodyDiv w:val="1"/>
      <w:marLeft w:val="0"/>
      <w:marRight w:val="0"/>
      <w:marTop w:val="0"/>
      <w:marBottom w:val="0"/>
      <w:divBdr>
        <w:top w:val="none" w:sz="0" w:space="0" w:color="auto"/>
        <w:left w:val="none" w:sz="0" w:space="0" w:color="auto"/>
        <w:bottom w:val="none" w:sz="0" w:space="0" w:color="auto"/>
        <w:right w:val="none" w:sz="0" w:space="0" w:color="auto"/>
      </w:divBdr>
    </w:div>
    <w:div w:id="697317362">
      <w:bodyDiv w:val="1"/>
      <w:marLeft w:val="0"/>
      <w:marRight w:val="0"/>
      <w:marTop w:val="0"/>
      <w:marBottom w:val="0"/>
      <w:divBdr>
        <w:top w:val="none" w:sz="0" w:space="0" w:color="auto"/>
        <w:left w:val="none" w:sz="0" w:space="0" w:color="auto"/>
        <w:bottom w:val="none" w:sz="0" w:space="0" w:color="auto"/>
        <w:right w:val="none" w:sz="0" w:space="0" w:color="auto"/>
      </w:divBdr>
    </w:div>
    <w:div w:id="877932142">
      <w:bodyDiv w:val="1"/>
      <w:marLeft w:val="0"/>
      <w:marRight w:val="0"/>
      <w:marTop w:val="0"/>
      <w:marBottom w:val="0"/>
      <w:divBdr>
        <w:top w:val="none" w:sz="0" w:space="0" w:color="auto"/>
        <w:left w:val="none" w:sz="0" w:space="0" w:color="auto"/>
        <w:bottom w:val="none" w:sz="0" w:space="0" w:color="auto"/>
        <w:right w:val="none" w:sz="0" w:space="0" w:color="auto"/>
      </w:divBdr>
    </w:div>
    <w:div w:id="1481851787">
      <w:bodyDiv w:val="1"/>
      <w:marLeft w:val="0"/>
      <w:marRight w:val="0"/>
      <w:marTop w:val="0"/>
      <w:marBottom w:val="0"/>
      <w:divBdr>
        <w:top w:val="none" w:sz="0" w:space="0" w:color="auto"/>
        <w:left w:val="none" w:sz="0" w:space="0" w:color="auto"/>
        <w:bottom w:val="none" w:sz="0" w:space="0" w:color="auto"/>
        <w:right w:val="none" w:sz="0" w:space="0" w:color="auto"/>
      </w:divBdr>
    </w:div>
    <w:div w:id="1496411586">
      <w:bodyDiv w:val="1"/>
      <w:marLeft w:val="0"/>
      <w:marRight w:val="0"/>
      <w:marTop w:val="0"/>
      <w:marBottom w:val="0"/>
      <w:divBdr>
        <w:top w:val="none" w:sz="0" w:space="0" w:color="auto"/>
        <w:left w:val="none" w:sz="0" w:space="0" w:color="auto"/>
        <w:bottom w:val="none" w:sz="0" w:space="0" w:color="auto"/>
        <w:right w:val="none" w:sz="0" w:space="0" w:color="auto"/>
      </w:divBdr>
    </w:div>
    <w:div w:id="1597595647">
      <w:bodyDiv w:val="1"/>
      <w:marLeft w:val="0"/>
      <w:marRight w:val="0"/>
      <w:marTop w:val="0"/>
      <w:marBottom w:val="0"/>
      <w:divBdr>
        <w:top w:val="none" w:sz="0" w:space="0" w:color="auto"/>
        <w:left w:val="none" w:sz="0" w:space="0" w:color="auto"/>
        <w:bottom w:val="none" w:sz="0" w:space="0" w:color="auto"/>
        <w:right w:val="none" w:sz="0" w:space="0" w:color="auto"/>
      </w:divBdr>
    </w:div>
    <w:div w:id="1756170678">
      <w:bodyDiv w:val="1"/>
      <w:marLeft w:val="0"/>
      <w:marRight w:val="0"/>
      <w:marTop w:val="0"/>
      <w:marBottom w:val="0"/>
      <w:divBdr>
        <w:top w:val="none" w:sz="0" w:space="0" w:color="auto"/>
        <w:left w:val="none" w:sz="0" w:space="0" w:color="auto"/>
        <w:bottom w:val="none" w:sz="0" w:space="0" w:color="auto"/>
        <w:right w:val="none" w:sz="0" w:space="0" w:color="auto"/>
      </w:divBdr>
    </w:div>
    <w:div w:id="1778140635">
      <w:bodyDiv w:val="1"/>
      <w:marLeft w:val="0"/>
      <w:marRight w:val="0"/>
      <w:marTop w:val="0"/>
      <w:marBottom w:val="0"/>
      <w:divBdr>
        <w:top w:val="none" w:sz="0" w:space="0" w:color="auto"/>
        <w:left w:val="none" w:sz="0" w:space="0" w:color="auto"/>
        <w:bottom w:val="none" w:sz="0" w:space="0" w:color="auto"/>
        <w:right w:val="none" w:sz="0" w:space="0" w:color="auto"/>
      </w:divBdr>
    </w:div>
    <w:div w:id="188953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3334</Words>
  <Characters>17673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Özdemir, Sina</dc:creator>
  <cp:keywords/>
  <dc:description/>
  <cp:lastModifiedBy>Sina Furkan Özdemir</cp:lastModifiedBy>
  <cp:revision>31</cp:revision>
  <dcterms:created xsi:type="dcterms:W3CDTF">2022-06-02T14:40:00Z</dcterms:created>
  <dcterms:modified xsi:type="dcterms:W3CDTF">2022-06-14T09:29:00Z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id="uCyHFZ8d"/&gt;&lt;style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