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3CA42CE9"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 xml:space="preserve">We focus on these </w:t>
      </w:r>
      <w:r w:rsidR="00CF04C7">
        <w:t>828</w:t>
      </w:r>
      <w:r w:rsidR="00590D9D">
        <w:t xml:space="preserve">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r w:rsidR="00672E02">
        <w:fldChar w:fldCharType="begin"/>
      </w:r>
      <w:r w:rsidR="00672E02">
        <w:instrText xml:space="preserve"> SEQ Table \* ARABIC </w:instrText>
      </w:r>
      <w:r w:rsidR="00672E02">
        <w:fldChar w:fldCharType="separate"/>
      </w:r>
      <w:r w:rsidR="00BD29C1">
        <w:rPr>
          <w:noProof/>
        </w:rPr>
        <w:t>1</w:t>
      </w:r>
      <w:r w:rsidR="00672E02">
        <w:rPr>
          <w:noProof/>
        </w:rPr>
        <w:fldChar w:fldCharType="end"/>
      </w:r>
      <w:r>
        <w:t>: Categories for object of publicity</w:t>
      </w:r>
    </w:p>
    <w:tbl>
      <w:tblPr>
        <w:tblStyle w:val="TableGrid"/>
        <w:tblW w:w="92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384"/>
        <w:gridCol w:w="2158"/>
        <w:gridCol w:w="2158"/>
      </w:tblGrid>
      <w:tr w:rsidR="00FF7AE3" w:rsidRPr="0078643B" w14:paraId="5F341C88" w14:textId="05FD3B24" w:rsidTr="00FF7AE3">
        <w:trPr>
          <w:trHeight w:val="594"/>
        </w:trPr>
        <w:tc>
          <w:tcPr>
            <w:tcW w:w="2564" w:type="dxa"/>
            <w:vMerge w:val="restart"/>
            <w:tcBorders>
              <w:top w:val="single" w:sz="18" w:space="0" w:color="auto"/>
            </w:tcBorders>
            <w:vAlign w:val="center"/>
          </w:tcPr>
          <w:p w14:paraId="56456BA5" w14:textId="77777777" w:rsidR="00FF7AE3" w:rsidRPr="0078643B" w:rsidRDefault="00FF7AE3" w:rsidP="00FF7AE3">
            <w:pPr>
              <w:jc w:val="center"/>
              <w:rPr>
                <w:b/>
                <w:sz w:val="20"/>
                <w:szCs w:val="16"/>
              </w:rPr>
            </w:pPr>
            <w:r w:rsidRPr="0078643B">
              <w:rPr>
                <w:b/>
                <w:sz w:val="20"/>
                <w:szCs w:val="16"/>
              </w:rPr>
              <w:t>Object of publicity categories</w:t>
            </w:r>
          </w:p>
        </w:tc>
        <w:tc>
          <w:tcPr>
            <w:tcW w:w="2384" w:type="dxa"/>
            <w:vMerge w:val="restart"/>
            <w:tcBorders>
              <w:top w:val="single" w:sz="18" w:space="0" w:color="auto"/>
            </w:tcBorders>
            <w:vAlign w:val="center"/>
          </w:tcPr>
          <w:p w14:paraId="403F8091" w14:textId="77777777" w:rsidR="00FF7AE3" w:rsidRPr="0078643B" w:rsidRDefault="00FF7AE3" w:rsidP="00FF7AE3">
            <w:pPr>
              <w:jc w:val="center"/>
              <w:rPr>
                <w:b/>
                <w:sz w:val="20"/>
                <w:szCs w:val="16"/>
              </w:rPr>
            </w:pPr>
            <w:r w:rsidRPr="0078643B">
              <w:rPr>
                <w:b/>
                <w:sz w:val="20"/>
                <w:szCs w:val="16"/>
              </w:rPr>
              <w:t>Definition</w:t>
            </w:r>
          </w:p>
        </w:tc>
        <w:tc>
          <w:tcPr>
            <w:tcW w:w="4316" w:type="dxa"/>
            <w:gridSpan w:val="2"/>
            <w:tcBorders>
              <w:top w:val="single" w:sz="18" w:space="0" w:color="auto"/>
            </w:tcBorders>
            <w:vAlign w:val="center"/>
          </w:tcPr>
          <w:p w14:paraId="2F7326B8" w14:textId="77777777" w:rsidR="00FF7AE3" w:rsidRDefault="00FF7AE3" w:rsidP="00FF7AE3">
            <w:pPr>
              <w:jc w:val="center"/>
              <w:rPr>
                <w:b/>
                <w:sz w:val="20"/>
                <w:szCs w:val="16"/>
              </w:rPr>
            </w:pPr>
            <w:r>
              <w:rPr>
                <w:b/>
                <w:sz w:val="20"/>
                <w:szCs w:val="16"/>
              </w:rPr>
              <w:t>Label distributions</w:t>
            </w:r>
          </w:p>
          <w:p w14:paraId="5ED2908B" w14:textId="3589C800" w:rsidR="001574B9" w:rsidRPr="0078643B" w:rsidRDefault="001574B9" w:rsidP="00FF7AE3">
            <w:pPr>
              <w:jc w:val="center"/>
              <w:rPr>
                <w:b/>
                <w:sz w:val="20"/>
                <w:szCs w:val="16"/>
              </w:rPr>
            </w:pPr>
            <w:r>
              <w:rPr>
                <w:b/>
                <w:sz w:val="20"/>
                <w:szCs w:val="16"/>
              </w:rPr>
              <w:t>(</w:t>
            </w:r>
            <w:r w:rsidR="00CF04C7">
              <w:rPr>
                <w:b/>
                <w:sz w:val="20"/>
                <w:szCs w:val="16"/>
              </w:rPr>
              <w:t>N</w:t>
            </w:r>
            <w:r>
              <w:rPr>
                <w:b/>
                <w:sz w:val="20"/>
                <w:szCs w:val="16"/>
              </w:rPr>
              <w:t>=</w:t>
            </w:r>
            <w:r w:rsidR="00CF04C7">
              <w:rPr>
                <w:b/>
                <w:sz w:val="20"/>
                <w:szCs w:val="16"/>
              </w:rPr>
              <w:t>828)</w:t>
            </w:r>
          </w:p>
        </w:tc>
      </w:tr>
      <w:tr w:rsidR="00FF7AE3" w:rsidRPr="0078643B" w14:paraId="70B212DE" w14:textId="77777777" w:rsidTr="00FF7AE3">
        <w:trPr>
          <w:trHeight w:val="594"/>
        </w:trPr>
        <w:tc>
          <w:tcPr>
            <w:tcW w:w="2564" w:type="dxa"/>
            <w:vMerge/>
            <w:tcBorders>
              <w:bottom w:val="single" w:sz="18" w:space="0" w:color="auto"/>
            </w:tcBorders>
          </w:tcPr>
          <w:p w14:paraId="4D38065D" w14:textId="77777777" w:rsidR="00FF7AE3" w:rsidRPr="0078643B" w:rsidRDefault="00FF7AE3" w:rsidP="0078643B">
            <w:pPr>
              <w:spacing w:line="480" w:lineRule="auto"/>
              <w:jc w:val="both"/>
              <w:rPr>
                <w:b/>
                <w:sz w:val="20"/>
                <w:szCs w:val="16"/>
              </w:rPr>
            </w:pPr>
          </w:p>
        </w:tc>
        <w:tc>
          <w:tcPr>
            <w:tcW w:w="2384" w:type="dxa"/>
            <w:vMerge/>
            <w:tcBorders>
              <w:bottom w:val="single" w:sz="18" w:space="0" w:color="auto"/>
            </w:tcBorders>
          </w:tcPr>
          <w:p w14:paraId="795909D4" w14:textId="77777777" w:rsidR="00FF7AE3" w:rsidRPr="0078643B" w:rsidRDefault="00FF7AE3" w:rsidP="0078643B">
            <w:pPr>
              <w:spacing w:line="480" w:lineRule="auto"/>
              <w:jc w:val="both"/>
              <w:rPr>
                <w:b/>
                <w:sz w:val="20"/>
                <w:szCs w:val="16"/>
              </w:rPr>
            </w:pPr>
          </w:p>
        </w:tc>
        <w:tc>
          <w:tcPr>
            <w:tcW w:w="2158" w:type="dxa"/>
            <w:tcBorders>
              <w:bottom w:val="single" w:sz="18" w:space="0" w:color="auto"/>
            </w:tcBorders>
            <w:vAlign w:val="center"/>
          </w:tcPr>
          <w:p w14:paraId="67DB075E" w14:textId="668D1B79" w:rsidR="00FF7AE3" w:rsidRPr="0078643B" w:rsidRDefault="00FF7AE3" w:rsidP="00FF7AE3">
            <w:pPr>
              <w:spacing w:line="480" w:lineRule="auto"/>
              <w:jc w:val="center"/>
              <w:rPr>
                <w:b/>
                <w:sz w:val="20"/>
                <w:szCs w:val="16"/>
              </w:rPr>
            </w:pPr>
            <w:r>
              <w:rPr>
                <w:b/>
                <w:sz w:val="20"/>
                <w:szCs w:val="16"/>
              </w:rPr>
              <w:t>1</w:t>
            </w:r>
          </w:p>
        </w:tc>
        <w:tc>
          <w:tcPr>
            <w:tcW w:w="2158" w:type="dxa"/>
            <w:tcBorders>
              <w:bottom w:val="single" w:sz="18" w:space="0" w:color="auto"/>
            </w:tcBorders>
            <w:vAlign w:val="center"/>
          </w:tcPr>
          <w:p w14:paraId="58B69D01" w14:textId="4E63CF84" w:rsidR="00FF7AE3" w:rsidRPr="0078643B" w:rsidRDefault="00FF7AE3" w:rsidP="00FF7AE3">
            <w:pPr>
              <w:spacing w:line="480" w:lineRule="auto"/>
              <w:jc w:val="center"/>
              <w:rPr>
                <w:b/>
                <w:sz w:val="20"/>
                <w:szCs w:val="16"/>
              </w:rPr>
            </w:pPr>
            <w:r>
              <w:rPr>
                <w:b/>
                <w:sz w:val="20"/>
                <w:szCs w:val="16"/>
              </w:rPr>
              <w:t>0</w:t>
            </w:r>
          </w:p>
        </w:tc>
      </w:tr>
      <w:tr w:rsidR="00E03340" w:rsidRPr="0078643B" w14:paraId="45D42EF3" w14:textId="66E60BDE" w:rsidTr="00FF7AE3">
        <w:tc>
          <w:tcPr>
            <w:tcW w:w="2564" w:type="dxa"/>
            <w:tcBorders>
              <w:top w:val="single" w:sz="18" w:space="0" w:color="auto"/>
            </w:tcBorders>
          </w:tcPr>
          <w:p w14:paraId="02C85ED2" w14:textId="77777777" w:rsidR="00E03340" w:rsidRPr="0078643B" w:rsidRDefault="00E03340" w:rsidP="0078643B">
            <w:pPr>
              <w:spacing w:line="480" w:lineRule="auto"/>
              <w:jc w:val="both"/>
              <w:rPr>
                <w:sz w:val="16"/>
                <w:szCs w:val="16"/>
              </w:rPr>
            </w:pPr>
            <w:r w:rsidRPr="0078643B">
              <w:rPr>
                <w:sz w:val="16"/>
                <w:szCs w:val="16"/>
              </w:rPr>
              <w:t>Identity and mandate</w:t>
            </w:r>
          </w:p>
        </w:tc>
        <w:tc>
          <w:tcPr>
            <w:tcW w:w="2384" w:type="dxa"/>
            <w:tcBorders>
              <w:top w:val="single" w:sz="18" w:space="0" w:color="auto"/>
            </w:tcBorders>
          </w:tcPr>
          <w:p w14:paraId="5BEA47DF" w14:textId="77777777" w:rsidR="00E03340" w:rsidRPr="0078643B" w:rsidRDefault="00E03340" w:rsidP="00E03340">
            <w:pPr>
              <w:jc w:val="both"/>
              <w:rPr>
                <w:sz w:val="16"/>
                <w:szCs w:val="16"/>
              </w:rPr>
            </w:pPr>
            <w:r w:rsidRPr="0078643B">
              <w:rPr>
                <w:sz w:val="16"/>
                <w:szCs w:val="16"/>
              </w:rPr>
              <w:t>Messages that aim to inform the audience about reasons as to why the EU, its institutions and bureaucrats exist and have a political role</w:t>
            </w:r>
          </w:p>
        </w:tc>
        <w:tc>
          <w:tcPr>
            <w:tcW w:w="2158" w:type="dxa"/>
            <w:tcBorders>
              <w:top w:val="single" w:sz="18" w:space="0" w:color="auto"/>
            </w:tcBorders>
          </w:tcPr>
          <w:p w14:paraId="2C8076DF" w14:textId="67BE2B30" w:rsidR="00E03340" w:rsidRPr="0078643B" w:rsidRDefault="00D720F2" w:rsidP="00A44746">
            <w:pPr>
              <w:spacing w:line="480" w:lineRule="auto"/>
              <w:jc w:val="center"/>
              <w:rPr>
                <w:sz w:val="16"/>
                <w:szCs w:val="16"/>
              </w:rPr>
            </w:pPr>
            <w:r>
              <w:rPr>
                <w:sz w:val="16"/>
                <w:szCs w:val="16"/>
              </w:rPr>
              <w:t>72</w:t>
            </w:r>
          </w:p>
        </w:tc>
        <w:tc>
          <w:tcPr>
            <w:tcW w:w="2158" w:type="dxa"/>
            <w:tcBorders>
              <w:top w:val="single" w:sz="18" w:space="0" w:color="auto"/>
            </w:tcBorders>
          </w:tcPr>
          <w:p w14:paraId="226227C1" w14:textId="3348FDF7" w:rsidR="00E03340" w:rsidRPr="0078643B" w:rsidRDefault="00EF7DA7" w:rsidP="00A44746">
            <w:pPr>
              <w:spacing w:line="480" w:lineRule="auto"/>
              <w:jc w:val="center"/>
              <w:rPr>
                <w:sz w:val="16"/>
                <w:szCs w:val="16"/>
              </w:rPr>
            </w:pPr>
            <w:r w:rsidRPr="00EF7DA7">
              <w:rPr>
                <w:sz w:val="16"/>
                <w:szCs w:val="16"/>
              </w:rPr>
              <w:t>756</w:t>
            </w:r>
          </w:p>
        </w:tc>
      </w:tr>
      <w:tr w:rsidR="00E03340" w:rsidRPr="0078643B" w14:paraId="005A25EF" w14:textId="16FF62D3" w:rsidTr="00FF7AE3">
        <w:tc>
          <w:tcPr>
            <w:tcW w:w="2564" w:type="dxa"/>
          </w:tcPr>
          <w:p w14:paraId="164711F7" w14:textId="77777777" w:rsidR="00E03340" w:rsidRPr="0078643B" w:rsidRDefault="00E03340" w:rsidP="0078643B">
            <w:pPr>
              <w:spacing w:line="480" w:lineRule="auto"/>
              <w:jc w:val="both"/>
              <w:rPr>
                <w:sz w:val="16"/>
                <w:szCs w:val="16"/>
              </w:rPr>
            </w:pPr>
          </w:p>
        </w:tc>
        <w:tc>
          <w:tcPr>
            <w:tcW w:w="2384" w:type="dxa"/>
          </w:tcPr>
          <w:p w14:paraId="3F88DB84" w14:textId="77777777" w:rsidR="00E03340" w:rsidRPr="0078643B" w:rsidRDefault="00E03340" w:rsidP="00E03340">
            <w:pPr>
              <w:jc w:val="both"/>
              <w:rPr>
                <w:sz w:val="16"/>
                <w:szCs w:val="16"/>
              </w:rPr>
            </w:pPr>
          </w:p>
        </w:tc>
        <w:tc>
          <w:tcPr>
            <w:tcW w:w="2158" w:type="dxa"/>
          </w:tcPr>
          <w:p w14:paraId="565D335E" w14:textId="77777777" w:rsidR="00E03340" w:rsidRPr="0078643B" w:rsidRDefault="00E03340" w:rsidP="00A44746">
            <w:pPr>
              <w:spacing w:line="480" w:lineRule="auto"/>
              <w:jc w:val="center"/>
              <w:rPr>
                <w:sz w:val="16"/>
                <w:szCs w:val="16"/>
              </w:rPr>
            </w:pPr>
          </w:p>
        </w:tc>
        <w:tc>
          <w:tcPr>
            <w:tcW w:w="2158" w:type="dxa"/>
          </w:tcPr>
          <w:p w14:paraId="5E7EEE4D" w14:textId="2A889F8A" w:rsidR="00E03340" w:rsidRPr="0078643B" w:rsidRDefault="00E03340" w:rsidP="00A44746">
            <w:pPr>
              <w:spacing w:line="480" w:lineRule="auto"/>
              <w:jc w:val="center"/>
              <w:rPr>
                <w:sz w:val="16"/>
                <w:szCs w:val="16"/>
              </w:rPr>
            </w:pPr>
          </w:p>
        </w:tc>
      </w:tr>
      <w:tr w:rsidR="00E03340" w:rsidRPr="0078643B" w14:paraId="7B85BC17" w14:textId="61F9B620" w:rsidTr="00FF7AE3">
        <w:tc>
          <w:tcPr>
            <w:tcW w:w="2564" w:type="dxa"/>
          </w:tcPr>
          <w:p w14:paraId="1B3DC11E" w14:textId="77777777" w:rsidR="00E03340" w:rsidRPr="0078643B" w:rsidRDefault="00E03340" w:rsidP="0078643B">
            <w:pPr>
              <w:spacing w:line="480" w:lineRule="auto"/>
              <w:jc w:val="both"/>
              <w:rPr>
                <w:sz w:val="16"/>
                <w:szCs w:val="16"/>
              </w:rPr>
            </w:pPr>
            <w:r w:rsidRPr="0078643B">
              <w:rPr>
                <w:sz w:val="16"/>
                <w:szCs w:val="16"/>
              </w:rPr>
              <w:t>Output</w:t>
            </w:r>
          </w:p>
        </w:tc>
        <w:tc>
          <w:tcPr>
            <w:tcW w:w="2384" w:type="dxa"/>
          </w:tcPr>
          <w:p w14:paraId="2B26688D" w14:textId="77777777" w:rsidR="00E03340" w:rsidRPr="0078643B" w:rsidRDefault="00E03340" w:rsidP="00E03340">
            <w:pPr>
              <w:jc w:val="both"/>
              <w:rPr>
                <w:sz w:val="16"/>
                <w:szCs w:val="16"/>
              </w:rPr>
            </w:pPr>
            <w:r w:rsidRPr="0078643B">
              <w:rPr>
                <w:sz w:val="16"/>
                <w:szCs w:val="16"/>
              </w:rPr>
              <w:t>Messages that provide an update and information on political operations, policies, programs, reports published by the EU, its institutions, or its bureaucrats</w:t>
            </w:r>
          </w:p>
        </w:tc>
        <w:tc>
          <w:tcPr>
            <w:tcW w:w="2158" w:type="dxa"/>
          </w:tcPr>
          <w:p w14:paraId="375FB1C0" w14:textId="276C913E" w:rsidR="00E03340" w:rsidRPr="0078643B" w:rsidRDefault="00EF7DA7" w:rsidP="00A44746">
            <w:pPr>
              <w:spacing w:line="480" w:lineRule="auto"/>
              <w:jc w:val="center"/>
              <w:rPr>
                <w:sz w:val="16"/>
                <w:szCs w:val="16"/>
              </w:rPr>
            </w:pPr>
            <w:r w:rsidRPr="00EF7DA7">
              <w:rPr>
                <w:sz w:val="16"/>
                <w:szCs w:val="16"/>
              </w:rPr>
              <w:t>449</w:t>
            </w:r>
          </w:p>
        </w:tc>
        <w:tc>
          <w:tcPr>
            <w:tcW w:w="2158" w:type="dxa"/>
          </w:tcPr>
          <w:p w14:paraId="43CCC257" w14:textId="2BF117CA" w:rsidR="00E03340" w:rsidRPr="0078643B" w:rsidRDefault="00EF7DA7" w:rsidP="00A44746">
            <w:pPr>
              <w:spacing w:line="480" w:lineRule="auto"/>
              <w:jc w:val="center"/>
              <w:rPr>
                <w:sz w:val="16"/>
                <w:szCs w:val="16"/>
              </w:rPr>
            </w:pPr>
            <w:r w:rsidRPr="00EF7DA7">
              <w:rPr>
                <w:sz w:val="16"/>
                <w:szCs w:val="16"/>
              </w:rPr>
              <w:t>379</w:t>
            </w:r>
          </w:p>
        </w:tc>
      </w:tr>
      <w:tr w:rsidR="00E03340" w:rsidRPr="0078643B" w14:paraId="39DC2B56" w14:textId="1F7E51E3" w:rsidTr="00FF7AE3">
        <w:tc>
          <w:tcPr>
            <w:tcW w:w="2564" w:type="dxa"/>
          </w:tcPr>
          <w:p w14:paraId="5C390CAE" w14:textId="77777777" w:rsidR="00E03340" w:rsidRPr="0078643B" w:rsidRDefault="00E03340" w:rsidP="0078643B">
            <w:pPr>
              <w:spacing w:line="480" w:lineRule="auto"/>
              <w:jc w:val="both"/>
              <w:rPr>
                <w:sz w:val="16"/>
                <w:szCs w:val="16"/>
              </w:rPr>
            </w:pPr>
          </w:p>
        </w:tc>
        <w:tc>
          <w:tcPr>
            <w:tcW w:w="2384" w:type="dxa"/>
          </w:tcPr>
          <w:p w14:paraId="13A847EE" w14:textId="77777777" w:rsidR="00E03340" w:rsidRPr="0078643B" w:rsidRDefault="00E03340" w:rsidP="00E03340">
            <w:pPr>
              <w:jc w:val="both"/>
              <w:rPr>
                <w:sz w:val="16"/>
                <w:szCs w:val="16"/>
              </w:rPr>
            </w:pPr>
          </w:p>
        </w:tc>
        <w:tc>
          <w:tcPr>
            <w:tcW w:w="2158" w:type="dxa"/>
          </w:tcPr>
          <w:p w14:paraId="33410073" w14:textId="77777777" w:rsidR="00E03340" w:rsidRPr="0078643B" w:rsidRDefault="00E03340" w:rsidP="00A44746">
            <w:pPr>
              <w:spacing w:line="480" w:lineRule="auto"/>
              <w:jc w:val="center"/>
              <w:rPr>
                <w:sz w:val="16"/>
                <w:szCs w:val="16"/>
              </w:rPr>
            </w:pPr>
          </w:p>
        </w:tc>
        <w:tc>
          <w:tcPr>
            <w:tcW w:w="2158" w:type="dxa"/>
          </w:tcPr>
          <w:p w14:paraId="4C182564" w14:textId="3AF06434" w:rsidR="00E03340" w:rsidRPr="0078643B" w:rsidRDefault="00E03340" w:rsidP="00A44746">
            <w:pPr>
              <w:spacing w:line="480" w:lineRule="auto"/>
              <w:jc w:val="center"/>
              <w:rPr>
                <w:sz w:val="16"/>
                <w:szCs w:val="16"/>
              </w:rPr>
            </w:pPr>
          </w:p>
        </w:tc>
      </w:tr>
      <w:tr w:rsidR="00E03340" w:rsidRPr="0078643B" w14:paraId="5BA53671" w14:textId="01EF1D87" w:rsidTr="00FF7AE3">
        <w:tc>
          <w:tcPr>
            <w:tcW w:w="2564" w:type="dxa"/>
          </w:tcPr>
          <w:p w14:paraId="51C71DD0" w14:textId="77777777" w:rsidR="00E03340" w:rsidRPr="0078643B" w:rsidRDefault="00E03340" w:rsidP="0078643B">
            <w:pPr>
              <w:spacing w:line="480" w:lineRule="auto"/>
              <w:jc w:val="both"/>
              <w:rPr>
                <w:sz w:val="16"/>
                <w:szCs w:val="16"/>
              </w:rPr>
            </w:pPr>
            <w:r w:rsidRPr="0078643B">
              <w:rPr>
                <w:sz w:val="16"/>
                <w:szCs w:val="16"/>
              </w:rPr>
              <w:t>Activity</w:t>
            </w:r>
          </w:p>
        </w:tc>
        <w:tc>
          <w:tcPr>
            <w:tcW w:w="2384" w:type="dxa"/>
          </w:tcPr>
          <w:p w14:paraId="5ECF8EC6" w14:textId="77777777" w:rsidR="00E03340" w:rsidRPr="0078643B" w:rsidRDefault="00E03340" w:rsidP="00E03340">
            <w:pPr>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c>
          <w:tcPr>
            <w:tcW w:w="2158" w:type="dxa"/>
          </w:tcPr>
          <w:p w14:paraId="4409435F" w14:textId="365D260B" w:rsidR="00E03340" w:rsidRPr="0078643B" w:rsidRDefault="00EF7DA7" w:rsidP="00A44746">
            <w:pPr>
              <w:spacing w:line="480" w:lineRule="auto"/>
              <w:jc w:val="center"/>
              <w:rPr>
                <w:sz w:val="16"/>
                <w:szCs w:val="16"/>
              </w:rPr>
            </w:pPr>
            <w:r w:rsidRPr="00EF7DA7">
              <w:rPr>
                <w:sz w:val="16"/>
                <w:szCs w:val="16"/>
              </w:rPr>
              <w:t>302</w:t>
            </w:r>
          </w:p>
        </w:tc>
        <w:tc>
          <w:tcPr>
            <w:tcW w:w="2158" w:type="dxa"/>
          </w:tcPr>
          <w:p w14:paraId="4D4C7AAA" w14:textId="2095C759" w:rsidR="00E03340" w:rsidRPr="0078643B" w:rsidRDefault="00EF7DA7" w:rsidP="00A44746">
            <w:pPr>
              <w:spacing w:line="480" w:lineRule="auto"/>
              <w:jc w:val="center"/>
              <w:rPr>
                <w:sz w:val="16"/>
                <w:szCs w:val="16"/>
              </w:rPr>
            </w:pPr>
            <w:r w:rsidRPr="00EF7DA7">
              <w:rPr>
                <w:sz w:val="16"/>
                <w:szCs w:val="16"/>
              </w:rPr>
              <w:t>526</w:t>
            </w:r>
          </w:p>
        </w:tc>
      </w:tr>
      <w:tr w:rsidR="00E03340" w:rsidRPr="0078643B" w14:paraId="6B1A9CC3" w14:textId="62A21A02" w:rsidTr="00FF7AE3">
        <w:tc>
          <w:tcPr>
            <w:tcW w:w="2564" w:type="dxa"/>
          </w:tcPr>
          <w:p w14:paraId="1ADE0CA1" w14:textId="77777777" w:rsidR="00E03340" w:rsidRPr="0078643B" w:rsidRDefault="00E03340" w:rsidP="0078643B">
            <w:pPr>
              <w:spacing w:line="480" w:lineRule="auto"/>
              <w:jc w:val="both"/>
              <w:rPr>
                <w:sz w:val="16"/>
                <w:szCs w:val="16"/>
              </w:rPr>
            </w:pPr>
          </w:p>
        </w:tc>
        <w:tc>
          <w:tcPr>
            <w:tcW w:w="2384" w:type="dxa"/>
          </w:tcPr>
          <w:p w14:paraId="539736B5" w14:textId="77777777" w:rsidR="00E03340" w:rsidRPr="0078643B" w:rsidRDefault="00E03340" w:rsidP="00E03340">
            <w:pPr>
              <w:jc w:val="both"/>
              <w:rPr>
                <w:sz w:val="16"/>
                <w:szCs w:val="16"/>
              </w:rPr>
            </w:pPr>
          </w:p>
        </w:tc>
        <w:tc>
          <w:tcPr>
            <w:tcW w:w="2158" w:type="dxa"/>
          </w:tcPr>
          <w:p w14:paraId="67286F34" w14:textId="77777777" w:rsidR="00E03340" w:rsidRPr="0078643B" w:rsidRDefault="00E03340" w:rsidP="00A44746">
            <w:pPr>
              <w:spacing w:line="480" w:lineRule="auto"/>
              <w:jc w:val="center"/>
              <w:rPr>
                <w:sz w:val="16"/>
                <w:szCs w:val="16"/>
              </w:rPr>
            </w:pPr>
          </w:p>
        </w:tc>
        <w:tc>
          <w:tcPr>
            <w:tcW w:w="2158" w:type="dxa"/>
          </w:tcPr>
          <w:p w14:paraId="7FCCB735" w14:textId="1ED4DCD4" w:rsidR="00E03340" w:rsidRPr="0078643B" w:rsidRDefault="00E03340" w:rsidP="00A44746">
            <w:pPr>
              <w:spacing w:line="480" w:lineRule="auto"/>
              <w:jc w:val="center"/>
              <w:rPr>
                <w:sz w:val="16"/>
                <w:szCs w:val="16"/>
              </w:rPr>
            </w:pPr>
          </w:p>
        </w:tc>
      </w:tr>
      <w:tr w:rsidR="00E03340" w:rsidRPr="0078643B" w14:paraId="7AAB9003" w14:textId="7CCF814E" w:rsidTr="00FF7AE3">
        <w:tc>
          <w:tcPr>
            <w:tcW w:w="2564" w:type="dxa"/>
          </w:tcPr>
          <w:p w14:paraId="5B0355BF" w14:textId="77777777" w:rsidR="00E03340" w:rsidRPr="0078643B" w:rsidRDefault="00E03340" w:rsidP="0078643B">
            <w:pPr>
              <w:spacing w:line="480" w:lineRule="auto"/>
              <w:jc w:val="both"/>
              <w:rPr>
                <w:sz w:val="16"/>
                <w:szCs w:val="16"/>
              </w:rPr>
            </w:pPr>
            <w:r w:rsidRPr="0078643B">
              <w:rPr>
                <w:sz w:val="16"/>
                <w:szCs w:val="16"/>
              </w:rPr>
              <w:t>Opinion</w:t>
            </w:r>
          </w:p>
        </w:tc>
        <w:tc>
          <w:tcPr>
            <w:tcW w:w="2384" w:type="dxa"/>
          </w:tcPr>
          <w:p w14:paraId="29FD6F82" w14:textId="77777777" w:rsidR="00E03340" w:rsidRPr="0078643B" w:rsidRDefault="00E03340" w:rsidP="00E03340">
            <w:pPr>
              <w:jc w:val="both"/>
              <w:rPr>
                <w:sz w:val="16"/>
                <w:szCs w:val="16"/>
              </w:rPr>
            </w:pPr>
            <w:r w:rsidRPr="0078643B">
              <w:rPr>
                <w:sz w:val="16"/>
                <w:szCs w:val="16"/>
              </w:rPr>
              <w:t>Tweets that state the author’s preference or evaluation regarding some policy, activity, situation or institutions and actors.</w:t>
            </w:r>
          </w:p>
        </w:tc>
        <w:tc>
          <w:tcPr>
            <w:tcW w:w="2158" w:type="dxa"/>
          </w:tcPr>
          <w:p w14:paraId="6B555954" w14:textId="3063A759" w:rsidR="00E03340" w:rsidRPr="0078643B" w:rsidRDefault="00EF7DA7" w:rsidP="00A44746">
            <w:pPr>
              <w:spacing w:line="480" w:lineRule="auto"/>
              <w:jc w:val="center"/>
              <w:rPr>
                <w:sz w:val="16"/>
                <w:szCs w:val="16"/>
              </w:rPr>
            </w:pPr>
            <w:r w:rsidRPr="00EF7DA7">
              <w:rPr>
                <w:sz w:val="16"/>
                <w:szCs w:val="16"/>
              </w:rPr>
              <w:t>194</w:t>
            </w:r>
          </w:p>
        </w:tc>
        <w:tc>
          <w:tcPr>
            <w:tcW w:w="2158" w:type="dxa"/>
          </w:tcPr>
          <w:p w14:paraId="3FA093C2" w14:textId="07D353EC" w:rsidR="00E03340" w:rsidRPr="0078643B" w:rsidRDefault="00EF7DA7" w:rsidP="00A44746">
            <w:pPr>
              <w:spacing w:line="480" w:lineRule="auto"/>
              <w:jc w:val="center"/>
              <w:rPr>
                <w:sz w:val="16"/>
                <w:szCs w:val="16"/>
              </w:rPr>
            </w:pPr>
            <w:r w:rsidRPr="00EF7DA7">
              <w:rPr>
                <w:sz w:val="16"/>
                <w:szCs w:val="16"/>
              </w:rPr>
              <w:t>634</w:t>
            </w:r>
          </w:p>
        </w:tc>
      </w:tr>
      <w:tr w:rsidR="00E03340" w:rsidRPr="0078643B" w14:paraId="184FB806" w14:textId="11ECA3E9" w:rsidTr="00FF7AE3">
        <w:tc>
          <w:tcPr>
            <w:tcW w:w="2564" w:type="dxa"/>
          </w:tcPr>
          <w:p w14:paraId="55144865" w14:textId="77777777" w:rsidR="00E03340" w:rsidRPr="0078643B" w:rsidRDefault="00E03340" w:rsidP="0078643B">
            <w:pPr>
              <w:spacing w:line="480" w:lineRule="auto"/>
              <w:jc w:val="both"/>
              <w:rPr>
                <w:sz w:val="16"/>
                <w:szCs w:val="16"/>
              </w:rPr>
            </w:pPr>
          </w:p>
        </w:tc>
        <w:tc>
          <w:tcPr>
            <w:tcW w:w="2384" w:type="dxa"/>
          </w:tcPr>
          <w:p w14:paraId="062A1AB8" w14:textId="77777777" w:rsidR="00E03340" w:rsidRPr="0078643B" w:rsidRDefault="00E03340" w:rsidP="00E03340">
            <w:pPr>
              <w:jc w:val="both"/>
              <w:rPr>
                <w:sz w:val="16"/>
                <w:szCs w:val="16"/>
              </w:rPr>
            </w:pPr>
          </w:p>
        </w:tc>
        <w:tc>
          <w:tcPr>
            <w:tcW w:w="2158" w:type="dxa"/>
          </w:tcPr>
          <w:p w14:paraId="25CDAF34" w14:textId="77777777" w:rsidR="00E03340" w:rsidRPr="0078643B" w:rsidRDefault="00E03340" w:rsidP="00A44746">
            <w:pPr>
              <w:spacing w:line="480" w:lineRule="auto"/>
              <w:jc w:val="center"/>
              <w:rPr>
                <w:sz w:val="16"/>
                <w:szCs w:val="16"/>
              </w:rPr>
            </w:pPr>
          </w:p>
        </w:tc>
        <w:tc>
          <w:tcPr>
            <w:tcW w:w="2158" w:type="dxa"/>
          </w:tcPr>
          <w:p w14:paraId="3E58D665" w14:textId="7E949965" w:rsidR="00E03340" w:rsidRPr="0078643B" w:rsidRDefault="00E03340" w:rsidP="00A44746">
            <w:pPr>
              <w:spacing w:line="480" w:lineRule="auto"/>
              <w:jc w:val="center"/>
              <w:rPr>
                <w:sz w:val="16"/>
                <w:szCs w:val="16"/>
              </w:rPr>
            </w:pPr>
          </w:p>
        </w:tc>
      </w:tr>
      <w:tr w:rsidR="00E03340" w:rsidRPr="0078643B" w14:paraId="554F6A2B" w14:textId="4907F0CD" w:rsidTr="00FF7AE3">
        <w:tc>
          <w:tcPr>
            <w:tcW w:w="2564" w:type="dxa"/>
          </w:tcPr>
          <w:p w14:paraId="2D9527B2" w14:textId="77777777" w:rsidR="00E03340" w:rsidRPr="0078643B" w:rsidRDefault="00E03340" w:rsidP="0078643B">
            <w:pPr>
              <w:spacing w:line="480" w:lineRule="auto"/>
              <w:jc w:val="both"/>
              <w:rPr>
                <w:sz w:val="16"/>
                <w:szCs w:val="16"/>
              </w:rPr>
            </w:pPr>
            <w:r w:rsidRPr="0078643B">
              <w:rPr>
                <w:sz w:val="16"/>
                <w:szCs w:val="16"/>
              </w:rPr>
              <w:t>Other</w:t>
            </w:r>
          </w:p>
        </w:tc>
        <w:tc>
          <w:tcPr>
            <w:tcW w:w="2384" w:type="dxa"/>
          </w:tcPr>
          <w:p w14:paraId="4E20A464" w14:textId="77777777" w:rsidR="00E03340" w:rsidRPr="0078643B" w:rsidRDefault="00E03340" w:rsidP="00E03340">
            <w:pPr>
              <w:jc w:val="both"/>
              <w:rPr>
                <w:sz w:val="16"/>
                <w:szCs w:val="16"/>
              </w:rPr>
            </w:pPr>
            <w:r w:rsidRPr="0078643B">
              <w:rPr>
                <w:sz w:val="16"/>
                <w:szCs w:val="16"/>
              </w:rPr>
              <w:t>Tweets that do not pertain to political or day to day operations defined in author’s mandate such as job announcements or trivia information.</w:t>
            </w:r>
          </w:p>
        </w:tc>
        <w:tc>
          <w:tcPr>
            <w:tcW w:w="2158" w:type="dxa"/>
          </w:tcPr>
          <w:p w14:paraId="2BCF4D0E" w14:textId="3CB66B7B" w:rsidR="00E03340" w:rsidRPr="0078643B" w:rsidRDefault="00D2707F" w:rsidP="00A44746">
            <w:pPr>
              <w:spacing w:line="480" w:lineRule="auto"/>
              <w:jc w:val="center"/>
              <w:rPr>
                <w:sz w:val="16"/>
                <w:szCs w:val="16"/>
              </w:rPr>
            </w:pPr>
            <w:r w:rsidRPr="00D2707F">
              <w:rPr>
                <w:sz w:val="16"/>
                <w:szCs w:val="16"/>
              </w:rPr>
              <w:t>68</w:t>
            </w:r>
          </w:p>
        </w:tc>
        <w:tc>
          <w:tcPr>
            <w:tcW w:w="2158" w:type="dxa"/>
          </w:tcPr>
          <w:p w14:paraId="50ADD305" w14:textId="15207622" w:rsidR="00E03340" w:rsidRPr="0078643B" w:rsidRDefault="00D2707F" w:rsidP="00A44746">
            <w:pPr>
              <w:spacing w:line="480" w:lineRule="auto"/>
              <w:jc w:val="center"/>
              <w:rPr>
                <w:sz w:val="16"/>
                <w:szCs w:val="16"/>
              </w:rPr>
            </w:pPr>
            <w:r w:rsidRPr="00D2707F">
              <w:rPr>
                <w:sz w:val="16"/>
                <w:szCs w:val="16"/>
              </w:rPr>
              <w:t>760</w:t>
            </w:r>
          </w:p>
        </w:tc>
      </w:tr>
      <w:tr w:rsidR="00E03340" w:rsidRPr="0078643B" w14:paraId="1CC148CE" w14:textId="70CA6460" w:rsidTr="00D2707F">
        <w:tc>
          <w:tcPr>
            <w:tcW w:w="2564" w:type="dxa"/>
          </w:tcPr>
          <w:p w14:paraId="7FA5A7A2" w14:textId="77777777" w:rsidR="00E03340" w:rsidRPr="0078643B" w:rsidRDefault="00E03340" w:rsidP="0078643B">
            <w:pPr>
              <w:spacing w:line="480" w:lineRule="auto"/>
              <w:jc w:val="both"/>
              <w:rPr>
                <w:sz w:val="16"/>
                <w:szCs w:val="16"/>
              </w:rPr>
            </w:pPr>
          </w:p>
        </w:tc>
        <w:tc>
          <w:tcPr>
            <w:tcW w:w="2384" w:type="dxa"/>
          </w:tcPr>
          <w:p w14:paraId="111CE671" w14:textId="77777777" w:rsidR="00E03340" w:rsidRPr="0078643B" w:rsidRDefault="00E03340" w:rsidP="00E03340">
            <w:pPr>
              <w:jc w:val="both"/>
              <w:rPr>
                <w:sz w:val="16"/>
                <w:szCs w:val="16"/>
              </w:rPr>
            </w:pPr>
          </w:p>
        </w:tc>
        <w:tc>
          <w:tcPr>
            <w:tcW w:w="2158" w:type="dxa"/>
          </w:tcPr>
          <w:p w14:paraId="32292FD2" w14:textId="77777777" w:rsidR="00E03340" w:rsidRPr="0078643B" w:rsidRDefault="00E03340" w:rsidP="00A44746">
            <w:pPr>
              <w:spacing w:line="480" w:lineRule="auto"/>
              <w:jc w:val="center"/>
              <w:rPr>
                <w:sz w:val="16"/>
                <w:szCs w:val="16"/>
              </w:rPr>
            </w:pPr>
          </w:p>
        </w:tc>
        <w:tc>
          <w:tcPr>
            <w:tcW w:w="2158" w:type="dxa"/>
          </w:tcPr>
          <w:p w14:paraId="1F79BD4C" w14:textId="070A5345" w:rsidR="00E03340" w:rsidRPr="0078643B" w:rsidRDefault="00E03340" w:rsidP="00A44746">
            <w:pPr>
              <w:spacing w:line="480" w:lineRule="auto"/>
              <w:jc w:val="center"/>
              <w:rPr>
                <w:sz w:val="16"/>
                <w:szCs w:val="16"/>
              </w:rPr>
            </w:pPr>
          </w:p>
        </w:tc>
      </w:tr>
      <w:tr w:rsidR="00E03340" w:rsidRPr="0078643B" w14:paraId="3483D178" w14:textId="4E5C439A" w:rsidTr="00D2707F">
        <w:tc>
          <w:tcPr>
            <w:tcW w:w="2564" w:type="dxa"/>
            <w:tcBorders>
              <w:bottom w:val="single" w:sz="18" w:space="0" w:color="auto"/>
            </w:tcBorders>
          </w:tcPr>
          <w:p w14:paraId="732E5671" w14:textId="77777777" w:rsidR="00E03340" w:rsidRPr="0078643B" w:rsidRDefault="00E03340" w:rsidP="0078643B">
            <w:pPr>
              <w:spacing w:line="480" w:lineRule="auto"/>
              <w:jc w:val="both"/>
              <w:rPr>
                <w:sz w:val="16"/>
                <w:szCs w:val="16"/>
              </w:rPr>
            </w:pPr>
            <w:r w:rsidRPr="0078643B">
              <w:rPr>
                <w:sz w:val="16"/>
                <w:szCs w:val="16"/>
              </w:rPr>
              <w:t>Input seeking</w:t>
            </w:r>
          </w:p>
        </w:tc>
        <w:tc>
          <w:tcPr>
            <w:tcW w:w="2384" w:type="dxa"/>
            <w:tcBorders>
              <w:bottom w:val="single" w:sz="18" w:space="0" w:color="auto"/>
            </w:tcBorders>
          </w:tcPr>
          <w:p w14:paraId="53B727EF" w14:textId="77777777" w:rsidR="00E03340" w:rsidRPr="0078643B" w:rsidRDefault="00E03340" w:rsidP="00E03340">
            <w:pPr>
              <w:jc w:val="both"/>
              <w:rPr>
                <w:sz w:val="16"/>
                <w:szCs w:val="16"/>
              </w:rPr>
            </w:pPr>
            <w:r w:rsidRPr="0078643B">
              <w:rPr>
                <w:sz w:val="16"/>
                <w:szCs w:val="16"/>
              </w:rPr>
              <w:t>Tweets that seek feedback, input, or opinions of stakeholders or the wider audience on political operations of the EU.</w:t>
            </w:r>
          </w:p>
        </w:tc>
        <w:tc>
          <w:tcPr>
            <w:tcW w:w="2158" w:type="dxa"/>
            <w:tcBorders>
              <w:bottom w:val="single" w:sz="18" w:space="0" w:color="auto"/>
            </w:tcBorders>
          </w:tcPr>
          <w:p w14:paraId="0D571470" w14:textId="78D72EB8" w:rsidR="00E03340" w:rsidRPr="0078643B" w:rsidRDefault="00D2707F" w:rsidP="00A44746">
            <w:pPr>
              <w:spacing w:line="480" w:lineRule="auto"/>
              <w:jc w:val="center"/>
              <w:rPr>
                <w:sz w:val="16"/>
                <w:szCs w:val="16"/>
              </w:rPr>
            </w:pPr>
            <w:r w:rsidRPr="00D2707F">
              <w:rPr>
                <w:sz w:val="16"/>
                <w:szCs w:val="16"/>
              </w:rPr>
              <w:t>25</w:t>
            </w:r>
          </w:p>
        </w:tc>
        <w:tc>
          <w:tcPr>
            <w:tcW w:w="2158" w:type="dxa"/>
            <w:tcBorders>
              <w:bottom w:val="single" w:sz="18" w:space="0" w:color="auto"/>
            </w:tcBorders>
          </w:tcPr>
          <w:p w14:paraId="449A460F" w14:textId="4AADD88F" w:rsidR="00E03340" w:rsidRPr="0078643B" w:rsidRDefault="00D2707F" w:rsidP="00A44746">
            <w:pPr>
              <w:spacing w:line="480" w:lineRule="auto"/>
              <w:jc w:val="center"/>
              <w:rPr>
                <w:sz w:val="16"/>
                <w:szCs w:val="16"/>
              </w:rPr>
            </w:pPr>
            <w:r w:rsidRPr="00D2707F">
              <w:rPr>
                <w:sz w:val="16"/>
                <w:szCs w:val="16"/>
              </w:rPr>
              <w:t>803</w:t>
            </w: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r w:rsidR="00672E02">
        <w:fldChar w:fldCharType="begin"/>
      </w:r>
      <w:r w:rsidR="00672E02">
        <w:instrText xml:space="preserve"> SEQ Figure \* ARABIC </w:instrText>
      </w:r>
      <w:r w:rsidR="00672E02">
        <w:fldChar w:fldCharType="separate"/>
      </w:r>
      <w:r>
        <w:rPr>
          <w:noProof/>
        </w:rPr>
        <w:t>1</w:t>
      </w:r>
      <w:r w:rsidR="00672E02">
        <w:rPr>
          <w:noProof/>
        </w:rPr>
        <w:fldChar w:fldCharType="end"/>
      </w:r>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proofErr w:type="spellStart"/>
      <w:r w:rsidR="00511768">
        <w:t>XGBoost</w:t>
      </w:r>
      <w:proofErr w:type="spellEnd"/>
      <w:r w:rsidR="00C74B02">
        <w:t xml:space="preserve"> </w:t>
      </w:r>
      <w:r w:rsidR="00A831D8">
        <w:t>(XGB)</w:t>
      </w:r>
      <w:r w:rsidR="0025689C">
        <w:t xml:space="preserve"> while we use XXXX</w:t>
      </w:r>
      <w:r w:rsidR="00093998">
        <w:t xml:space="preserve"> from DL classification family</w:t>
      </w:r>
      <w:r w:rsidR="0025689C">
        <w:t>.</w:t>
      </w:r>
      <w:r w:rsidR="00455331">
        <w:t xml:space="preserve"> We extensively use </w:t>
      </w:r>
      <w:proofErr w:type="spellStart"/>
      <w:r w:rsidR="00455331">
        <w:t>Quanteda</w:t>
      </w:r>
      <w:proofErr w:type="spellEnd"/>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proofErr w:type="spellStart"/>
      <w:r w:rsidR="00191FBF">
        <w:t>caRet</w:t>
      </w:r>
      <w:proofErr w:type="spellEnd"/>
      <w:r w:rsidR="00191FBF">
        <w:t xml:space="preserve">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0DFFF443" w:rsidR="004E1A07" w:rsidRDefault="004E1A07" w:rsidP="0025689C">
      <w:pPr>
        <w:jc w:val="both"/>
      </w:pPr>
    </w:p>
    <w:p w14:paraId="2F4A6F3B" w14:textId="7473CFD3" w:rsidR="00B31AF7" w:rsidRDefault="00B31AF7" w:rsidP="0025689C">
      <w:pPr>
        <w:jc w:val="both"/>
      </w:pPr>
    </w:p>
    <w:p w14:paraId="19F8B8D5" w14:textId="75D77B7F" w:rsidR="005B7138" w:rsidRDefault="005B7138" w:rsidP="0025689C">
      <w:pPr>
        <w:jc w:val="both"/>
      </w:pPr>
    </w:p>
    <w:p w14:paraId="66A9B936" w14:textId="1833330C" w:rsidR="005B7138" w:rsidRDefault="005B7138" w:rsidP="0025689C">
      <w:pPr>
        <w:jc w:val="both"/>
      </w:pPr>
    </w:p>
    <w:p w14:paraId="7F3A1272" w14:textId="77777777" w:rsidR="005B7138" w:rsidRDefault="005B7138" w:rsidP="0025689C">
      <w:pPr>
        <w:jc w:val="both"/>
      </w:pPr>
    </w:p>
    <w:p w14:paraId="7B7CB30A" w14:textId="47AD6B42" w:rsidR="00BD29C1" w:rsidRDefault="00BD29C1" w:rsidP="00BD29C1">
      <w:pPr>
        <w:pStyle w:val="Heading1"/>
      </w:pPr>
      <w:r>
        <w:lastRenderedPageBreak/>
        <w:t>Results:</w:t>
      </w:r>
    </w:p>
    <w:p w14:paraId="09DBD21B" w14:textId="52675C59" w:rsidR="00BD29C1" w:rsidRDefault="00BD29C1" w:rsidP="00BD29C1">
      <w:pPr>
        <w:pStyle w:val="Caption"/>
        <w:keepNext/>
      </w:pPr>
      <w:r>
        <w:t xml:space="preserve">Table </w:t>
      </w:r>
      <w:r w:rsidR="00672E02">
        <w:fldChar w:fldCharType="begin"/>
      </w:r>
      <w:r w:rsidR="00672E02">
        <w:instrText xml:space="preserve"> SEQ Table \* ARABIC </w:instrText>
      </w:r>
      <w:r w:rsidR="00672E02">
        <w:fldChar w:fldCharType="separate"/>
      </w:r>
      <w:r>
        <w:rPr>
          <w:noProof/>
        </w:rPr>
        <w:t>2</w:t>
      </w:r>
      <w:r w:rsidR="00672E02">
        <w:rPr>
          <w:noProof/>
        </w:rPr>
        <w:fldChar w:fldCharType="end"/>
      </w:r>
      <w:r>
        <w:t>: F1 scores of predictive models</w:t>
      </w:r>
    </w:p>
    <w:tbl>
      <w:tblPr>
        <w:tblStyle w:val="TableGrid"/>
        <w:tblW w:w="0" w:type="auto"/>
        <w:tblLook w:val="04A0" w:firstRow="1" w:lastRow="0" w:firstColumn="1" w:lastColumn="0" w:noHBand="0" w:noVBand="1"/>
      </w:tblPr>
      <w:tblGrid>
        <w:gridCol w:w="1252"/>
        <w:gridCol w:w="733"/>
        <w:gridCol w:w="1128"/>
        <w:gridCol w:w="937"/>
        <w:gridCol w:w="732"/>
        <w:gridCol w:w="1127"/>
        <w:gridCol w:w="938"/>
        <w:gridCol w:w="654"/>
        <w:gridCol w:w="1102"/>
        <w:gridCol w:w="793"/>
      </w:tblGrid>
      <w:tr w:rsidR="005F110B" w14:paraId="2BA69CE9" w14:textId="77777777" w:rsidTr="00C11378">
        <w:tc>
          <w:tcPr>
            <w:tcW w:w="1231" w:type="dxa"/>
          </w:tcPr>
          <w:p w14:paraId="4C8F2244" w14:textId="77777777" w:rsidR="005F110B" w:rsidRDefault="005F110B" w:rsidP="005F110B">
            <w:pPr>
              <w:jc w:val="both"/>
            </w:pPr>
          </w:p>
        </w:tc>
        <w:tc>
          <w:tcPr>
            <w:tcW w:w="2806" w:type="dxa"/>
            <w:gridSpan w:val="3"/>
          </w:tcPr>
          <w:p w14:paraId="5808CB7D" w14:textId="63B47E5C" w:rsidR="005F110B" w:rsidRDefault="005F110B" w:rsidP="00CB1CD0">
            <w:pPr>
              <w:jc w:val="center"/>
            </w:pPr>
            <w:r>
              <w:t>DFM</w:t>
            </w:r>
          </w:p>
        </w:tc>
        <w:tc>
          <w:tcPr>
            <w:tcW w:w="2804" w:type="dxa"/>
            <w:gridSpan w:val="3"/>
          </w:tcPr>
          <w:p w14:paraId="1E5DAE6E" w14:textId="43924893" w:rsidR="005F110B" w:rsidRDefault="005F110B" w:rsidP="00CB1CD0">
            <w:pPr>
              <w:jc w:val="center"/>
            </w:pPr>
            <w:r>
              <w:t>TFIDF</w:t>
            </w:r>
          </w:p>
        </w:tc>
        <w:tc>
          <w:tcPr>
            <w:tcW w:w="2555" w:type="dxa"/>
            <w:gridSpan w:val="3"/>
          </w:tcPr>
          <w:p w14:paraId="6DCEA541" w14:textId="414283DE" w:rsidR="005F110B" w:rsidRDefault="007D1557" w:rsidP="00CB1CD0">
            <w:pPr>
              <w:jc w:val="center"/>
            </w:pPr>
            <w:r>
              <w:t>Multi-modal embeddings</w:t>
            </w:r>
          </w:p>
        </w:tc>
      </w:tr>
      <w:tr w:rsidR="005F110B" w14:paraId="03ECA491" w14:textId="16C73001" w:rsidTr="005F110B">
        <w:tc>
          <w:tcPr>
            <w:tcW w:w="1231" w:type="dxa"/>
          </w:tcPr>
          <w:p w14:paraId="5C027804" w14:textId="77777777" w:rsidR="005F110B" w:rsidRDefault="005F110B" w:rsidP="005F110B">
            <w:pPr>
              <w:jc w:val="both"/>
            </w:pPr>
          </w:p>
        </w:tc>
        <w:tc>
          <w:tcPr>
            <w:tcW w:w="736" w:type="dxa"/>
          </w:tcPr>
          <w:p w14:paraId="65C319FA" w14:textId="371A373D" w:rsidR="005F110B" w:rsidRDefault="005F110B" w:rsidP="00CB1CD0">
            <w:pPr>
              <w:jc w:val="center"/>
            </w:pPr>
            <w:r>
              <w:t>F1</w:t>
            </w:r>
          </w:p>
        </w:tc>
        <w:tc>
          <w:tcPr>
            <w:tcW w:w="1129" w:type="dxa"/>
          </w:tcPr>
          <w:p w14:paraId="08C87493" w14:textId="5ECF5B1D" w:rsidR="005F110B" w:rsidRDefault="005F110B" w:rsidP="00CB1CD0">
            <w:pPr>
              <w:jc w:val="center"/>
            </w:pPr>
            <w:r>
              <w:t>Precision</w:t>
            </w:r>
          </w:p>
        </w:tc>
        <w:tc>
          <w:tcPr>
            <w:tcW w:w="941" w:type="dxa"/>
          </w:tcPr>
          <w:p w14:paraId="0D2CDC55" w14:textId="48B9AA4B" w:rsidR="005F110B" w:rsidRDefault="005F110B" w:rsidP="00CB1CD0">
            <w:pPr>
              <w:jc w:val="center"/>
            </w:pPr>
            <w:r>
              <w:t>Recall</w:t>
            </w:r>
          </w:p>
        </w:tc>
        <w:tc>
          <w:tcPr>
            <w:tcW w:w="734" w:type="dxa"/>
          </w:tcPr>
          <w:p w14:paraId="0D0D73D0" w14:textId="4A31D2F6" w:rsidR="005F110B" w:rsidRDefault="005F110B" w:rsidP="00CB1CD0">
            <w:pPr>
              <w:jc w:val="center"/>
            </w:pPr>
            <w:r>
              <w:t>F1</w:t>
            </w:r>
          </w:p>
        </w:tc>
        <w:tc>
          <w:tcPr>
            <w:tcW w:w="1128" w:type="dxa"/>
          </w:tcPr>
          <w:p w14:paraId="58209840" w14:textId="7476FA03" w:rsidR="005F110B" w:rsidRDefault="005F110B" w:rsidP="00CB1CD0">
            <w:pPr>
              <w:jc w:val="center"/>
            </w:pPr>
            <w:r>
              <w:t>Precision</w:t>
            </w:r>
          </w:p>
        </w:tc>
        <w:tc>
          <w:tcPr>
            <w:tcW w:w="942" w:type="dxa"/>
          </w:tcPr>
          <w:p w14:paraId="757DB719" w14:textId="13622C58" w:rsidR="005F110B" w:rsidRDefault="005F110B" w:rsidP="00CB1CD0">
            <w:pPr>
              <w:jc w:val="center"/>
            </w:pPr>
            <w:r>
              <w:t>Recall</w:t>
            </w:r>
          </w:p>
        </w:tc>
        <w:tc>
          <w:tcPr>
            <w:tcW w:w="660" w:type="dxa"/>
          </w:tcPr>
          <w:p w14:paraId="72E630D7" w14:textId="0C58B044" w:rsidR="005F110B" w:rsidRDefault="005F110B" w:rsidP="00CB1CD0">
            <w:pPr>
              <w:jc w:val="center"/>
            </w:pPr>
            <w:r>
              <w:t>F1</w:t>
            </w:r>
          </w:p>
        </w:tc>
        <w:tc>
          <w:tcPr>
            <w:tcW w:w="1102" w:type="dxa"/>
          </w:tcPr>
          <w:p w14:paraId="1AFABF84" w14:textId="416EDDEB" w:rsidR="005F110B" w:rsidRDefault="005F110B" w:rsidP="00CB1CD0">
            <w:pPr>
              <w:jc w:val="center"/>
            </w:pPr>
            <w:r>
              <w:t>Precision</w:t>
            </w:r>
          </w:p>
        </w:tc>
        <w:tc>
          <w:tcPr>
            <w:tcW w:w="793" w:type="dxa"/>
          </w:tcPr>
          <w:p w14:paraId="72896303" w14:textId="55446992" w:rsidR="005F110B" w:rsidRDefault="005F110B" w:rsidP="00CB1CD0">
            <w:pPr>
              <w:jc w:val="center"/>
            </w:pPr>
            <w:r>
              <w:t>Recall</w:t>
            </w:r>
          </w:p>
        </w:tc>
      </w:tr>
      <w:tr w:rsidR="005F110B" w14:paraId="37F4E553" w14:textId="18EFA8AC" w:rsidTr="005F110B">
        <w:tc>
          <w:tcPr>
            <w:tcW w:w="1231" w:type="dxa"/>
          </w:tcPr>
          <w:p w14:paraId="67DDEABF" w14:textId="0810333F" w:rsidR="005F110B" w:rsidRDefault="005F110B" w:rsidP="00CB1CD0">
            <w:r>
              <w:t>Naïve Bayes</w:t>
            </w:r>
          </w:p>
        </w:tc>
        <w:tc>
          <w:tcPr>
            <w:tcW w:w="736" w:type="dxa"/>
          </w:tcPr>
          <w:p w14:paraId="47838C9C" w14:textId="6F990096" w:rsidR="005F110B" w:rsidRDefault="0032192B" w:rsidP="00CB1CD0">
            <w:pPr>
              <w:jc w:val="center"/>
            </w:pPr>
            <w:r w:rsidRPr="0032192B">
              <w:t>0.70</w:t>
            </w:r>
          </w:p>
        </w:tc>
        <w:tc>
          <w:tcPr>
            <w:tcW w:w="1129" w:type="dxa"/>
          </w:tcPr>
          <w:p w14:paraId="1CB613BE" w14:textId="641D8BF6" w:rsidR="005F110B" w:rsidRDefault="0032192B" w:rsidP="00CB1CD0">
            <w:pPr>
              <w:jc w:val="center"/>
            </w:pPr>
            <w:r w:rsidRPr="0032192B">
              <w:t>0.54</w:t>
            </w:r>
          </w:p>
        </w:tc>
        <w:tc>
          <w:tcPr>
            <w:tcW w:w="941" w:type="dxa"/>
          </w:tcPr>
          <w:p w14:paraId="1020160D" w14:textId="16AB9695" w:rsidR="005F110B" w:rsidRDefault="00F41185" w:rsidP="00CB1CD0">
            <w:pPr>
              <w:jc w:val="center"/>
            </w:pPr>
            <w:r w:rsidRPr="00F41185">
              <w:t>1.00</w:t>
            </w:r>
          </w:p>
        </w:tc>
        <w:tc>
          <w:tcPr>
            <w:tcW w:w="734" w:type="dxa"/>
          </w:tcPr>
          <w:p w14:paraId="39FAA2C7" w14:textId="3487782F" w:rsidR="005F110B" w:rsidRDefault="00CD3649" w:rsidP="00CB1CD0">
            <w:pPr>
              <w:jc w:val="center"/>
            </w:pPr>
            <w:r w:rsidRPr="00CD3649">
              <w:t>0.70</w:t>
            </w:r>
          </w:p>
        </w:tc>
        <w:tc>
          <w:tcPr>
            <w:tcW w:w="1128" w:type="dxa"/>
          </w:tcPr>
          <w:p w14:paraId="5F436CA8" w14:textId="38ABF9EF" w:rsidR="005F110B" w:rsidRDefault="00CD3649" w:rsidP="00CB1CD0">
            <w:pPr>
              <w:jc w:val="center"/>
            </w:pPr>
            <w:r w:rsidRPr="00CD3649">
              <w:t>0.54</w:t>
            </w:r>
          </w:p>
        </w:tc>
        <w:tc>
          <w:tcPr>
            <w:tcW w:w="942" w:type="dxa"/>
          </w:tcPr>
          <w:p w14:paraId="38AC43FF" w14:textId="64825920" w:rsidR="005F110B" w:rsidRDefault="00A13D65" w:rsidP="00CB1CD0">
            <w:pPr>
              <w:jc w:val="center"/>
            </w:pPr>
            <w:r w:rsidRPr="00A13D65">
              <w:t>1.00</w:t>
            </w:r>
          </w:p>
        </w:tc>
        <w:tc>
          <w:tcPr>
            <w:tcW w:w="660" w:type="dxa"/>
          </w:tcPr>
          <w:p w14:paraId="43B954BE" w14:textId="172CAAD8" w:rsidR="005F110B" w:rsidRDefault="00CB1CD0" w:rsidP="00CB1CD0">
            <w:pPr>
              <w:jc w:val="center"/>
            </w:pPr>
            <w:r>
              <w:t>-</w:t>
            </w:r>
          </w:p>
        </w:tc>
        <w:tc>
          <w:tcPr>
            <w:tcW w:w="1102" w:type="dxa"/>
          </w:tcPr>
          <w:p w14:paraId="5B42B951" w14:textId="27A2DEF6" w:rsidR="005F110B" w:rsidRDefault="00CB1CD0" w:rsidP="00CB1CD0">
            <w:pPr>
              <w:jc w:val="center"/>
            </w:pPr>
            <w:r>
              <w:t>-</w:t>
            </w:r>
          </w:p>
        </w:tc>
        <w:tc>
          <w:tcPr>
            <w:tcW w:w="793" w:type="dxa"/>
          </w:tcPr>
          <w:p w14:paraId="3D2697FD" w14:textId="2E504994" w:rsidR="005F110B" w:rsidRDefault="00CB1CD0" w:rsidP="00CB1CD0">
            <w:pPr>
              <w:jc w:val="center"/>
            </w:pPr>
            <w:r>
              <w:t>-</w:t>
            </w:r>
          </w:p>
        </w:tc>
      </w:tr>
      <w:tr w:rsidR="005F110B" w14:paraId="7F329E56" w14:textId="0CDC1106" w:rsidTr="005F110B">
        <w:tc>
          <w:tcPr>
            <w:tcW w:w="1231" w:type="dxa"/>
          </w:tcPr>
          <w:p w14:paraId="490E74FF" w14:textId="77F98D18" w:rsidR="005F110B" w:rsidRPr="001A23F7" w:rsidRDefault="005F110B" w:rsidP="00CB1CD0">
            <w:pPr>
              <w:rPr>
                <w:b/>
                <w:bCs/>
              </w:rPr>
            </w:pPr>
            <w:r w:rsidRPr="001A23F7">
              <w:rPr>
                <w:b/>
                <w:bCs/>
              </w:rPr>
              <w:t>Logistic regression</w:t>
            </w:r>
          </w:p>
        </w:tc>
        <w:tc>
          <w:tcPr>
            <w:tcW w:w="736" w:type="dxa"/>
          </w:tcPr>
          <w:p w14:paraId="4AAB3E4B" w14:textId="5C601B82" w:rsidR="005F110B" w:rsidRDefault="00F41185" w:rsidP="00CB1CD0">
            <w:pPr>
              <w:jc w:val="center"/>
            </w:pPr>
            <w:r w:rsidRPr="00F41185">
              <w:t>0.92</w:t>
            </w:r>
          </w:p>
        </w:tc>
        <w:tc>
          <w:tcPr>
            <w:tcW w:w="1129" w:type="dxa"/>
          </w:tcPr>
          <w:p w14:paraId="26818D0D" w14:textId="2AC612F0" w:rsidR="005F110B" w:rsidRDefault="00F41185" w:rsidP="00CB1CD0">
            <w:pPr>
              <w:jc w:val="center"/>
            </w:pPr>
            <w:r w:rsidRPr="00F41185">
              <w:t>0.91</w:t>
            </w:r>
          </w:p>
        </w:tc>
        <w:tc>
          <w:tcPr>
            <w:tcW w:w="941" w:type="dxa"/>
          </w:tcPr>
          <w:p w14:paraId="530D0257" w14:textId="7E35516F" w:rsidR="005F110B" w:rsidRDefault="006F01F5" w:rsidP="00CB1CD0">
            <w:pPr>
              <w:jc w:val="center"/>
            </w:pPr>
            <w:r w:rsidRPr="006F01F5">
              <w:t>0.93</w:t>
            </w:r>
          </w:p>
        </w:tc>
        <w:tc>
          <w:tcPr>
            <w:tcW w:w="734" w:type="dxa"/>
          </w:tcPr>
          <w:p w14:paraId="351F9C8C" w14:textId="63F7A688" w:rsidR="005F110B" w:rsidRDefault="00A13D65" w:rsidP="00CB1CD0">
            <w:pPr>
              <w:jc w:val="center"/>
            </w:pPr>
            <w:r w:rsidRPr="00A13D65">
              <w:t>0.93</w:t>
            </w:r>
          </w:p>
        </w:tc>
        <w:tc>
          <w:tcPr>
            <w:tcW w:w="1128" w:type="dxa"/>
          </w:tcPr>
          <w:p w14:paraId="18C571A4" w14:textId="4207E166" w:rsidR="005F110B" w:rsidRDefault="00A13D65" w:rsidP="00CB1CD0">
            <w:pPr>
              <w:jc w:val="center"/>
            </w:pPr>
            <w:r w:rsidRPr="00A13D65">
              <w:t>0.92</w:t>
            </w:r>
          </w:p>
        </w:tc>
        <w:tc>
          <w:tcPr>
            <w:tcW w:w="942" w:type="dxa"/>
          </w:tcPr>
          <w:p w14:paraId="69A55EB1" w14:textId="678F3ED9" w:rsidR="005F110B" w:rsidRDefault="00A13D65" w:rsidP="00CB1CD0">
            <w:pPr>
              <w:jc w:val="center"/>
            </w:pPr>
            <w:r w:rsidRPr="00A13D65">
              <w:t>0.94</w:t>
            </w:r>
          </w:p>
        </w:tc>
        <w:tc>
          <w:tcPr>
            <w:tcW w:w="660" w:type="dxa"/>
          </w:tcPr>
          <w:p w14:paraId="082E9C66" w14:textId="59236DCF" w:rsidR="005F110B" w:rsidRDefault="00CB1CD0" w:rsidP="00CB1CD0">
            <w:pPr>
              <w:jc w:val="center"/>
            </w:pPr>
            <w:r>
              <w:t>-</w:t>
            </w:r>
          </w:p>
        </w:tc>
        <w:tc>
          <w:tcPr>
            <w:tcW w:w="1102" w:type="dxa"/>
          </w:tcPr>
          <w:p w14:paraId="20FB0C63" w14:textId="3F387D22" w:rsidR="005F110B" w:rsidRDefault="00CB1CD0" w:rsidP="00CB1CD0">
            <w:pPr>
              <w:jc w:val="center"/>
            </w:pPr>
            <w:r>
              <w:t>-</w:t>
            </w:r>
          </w:p>
        </w:tc>
        <w:tc>
          <w:tcPr>
            <w:tcW w:w="793" w:type="dxa"/>
          </w:tcPr>
          <w:p w14:paraId="7185B904" w14:textId="75256082" w:rsidR="005F110B" w:rsidRDefault="00CB1CD0" w:rsidP="00CB1CD0">
            <w:pPr>
              <w:jc w:val="center"/>
            </w:pPr>
            <w:r>
              <w:t>-</w:t>
            </w:r>
          </w:p>
        </w:tc>
      </w:tr>
      <w:tr w:rsidR="005F110B" w14:paraId="4718493C" w14:textId="553457FA" w:rsidTr="005F110B">
        <w:tc>
          <w:tcPr>
            <w:tcW w:w="1231" w:type="dxa"/>
          </w:tcPr>
          <w:p w14:paraId="53F14CAA" w14:textId="69D6C0B3" w:rsidR="005F110B" w:rsidRDefault="005F110B" w:rsidP="00CB1CD0">
            <w:r>
              <w:t>Support Vector machine</w:t>
            </w:r>
          </w:p>
        </w:tc>
        <w:tc>
          <w:tcPr>
            <w:tcW w:w="736" w:type="dxa"/>
          </w:tcPr>
          <w:p w14:paraId="6B1706AC" w14:textId="1377DAB7" w:rsidR="005F110B" w:rsidRDefault="006F01F5" w:rsidP="00CB1CD0">
            <w:pPr>
              <w:jc w:val="center"/>
            </w:pPr>
            <w:r w:rsidRPr="006F01F5">
              <w:t>0.69</w:t>
            </w:r>
          </w:p>
        </w:tc>
        <w:tc>
          <w:tcPr>
            <w:tcW w:w="1129" w:type="dxa"/>
          </w:tcPr>
          <w:p w14:paraId="6D67EA6B" w14:textId="1285FCC5" w:rsidR="005F110B" w:rsidRDefault="006F01F5" w:rsidP="00CB1CD0">
            <w:pPr>
              <w:jc w:val="center"/>
            </w:pPr>
            <w:r w:rsidRPr="006F01F5">
              <w:t>0.75</w:t>
            </w:r>
          </w:p>
        </w:tc>
        <w:tc>
          <w:tcPr>
            <w:tcW w:w="941" w:type="dxa"/>
          </w:tcPr>
          <w:p w14:paraId="4699077A" w14:textId="7ABC1821" w:rsidR="005F110B" w:rsidRDefault="006F01F5" w:rsidP="00CB1CD0">
            <w:pPr>
              <w:jc w:val="center"/>
            </w:pPr>
            <w:r w:rsidRPr="006F01F5">
              <w:t>0.64</w:t>
            </w:r>
          </w:p>
        </w:tc>
        <w:tc>
          <w:tcPr>
            <w:tcW w:w="734" w:type="dxa"/>
          </w:tcPr>
          <w:p w14:paraId="77C0AFDB" w14:textId="50B35063" w:rsidR="005F110B" w:rsidRDefault="00E346AC" w:rsidP="00CB1CD0">
            <w:pPr>
              <w:jc w:val="center"/>
            </w:pPr>
            <w:r w:rsidRPr="00E346AC">
              <w:t>0.69</w:t>
            </w:r>
          </w:p>
        </w:tc>
        <w:tc>
          <w:tcPr>
            <w:tcW w:w="1128" w:type="dxa"/>
          </w:tcPr>
          <w:p w14:paraId="36274AE9" w14:textId="679DB246" w:rsidR="005F110B" w:rsidRDefault="00E346AC" w:rsidP="00CB1CD0">
            <w:pPr>
              <w:jc w:val="center"/>
            </w:pPr>
            <w:r w:rsidRPr="00E346AC">
              <w:t>0.68</w:t>
            </w:r>
          </w:p>
        </w:tc>
        <w:tc>
          <w:tcPr>
            <w:tcW w:w="942" w:type="dxa"/>
          </w:tcPr>
          <w:p w14:paraId="1C71AB48" w14:textId="3C137D84" w:rsidR="005F110B" w:rsidRDefault="00E346AC" w:rsidP="00CB1CD0">
            <w:pPr>
              <w:jc w:val="center"/>
            </w:pPr>
            <w:r w:rsidRPr="00E346AC">
              <w:t>0.69</w:t>
            </w:r>
          </w:p>
        </w:tc>
        <w:tc>
          <w:tcPr>
            <w:tcW w:w="660" w:type="dxa"/>
          </w:tcPr>
          <w:p w14:paraId="4FC4AC71" w14:textId="35F44F4B" w:rsidR="005F110B" w:rsidRDefault="00CB1CD0" w:rsidP="00CB1CD0">
            <w:pPr>
              <w:jc w:val="center"/>
            </w:pPr>
            <w:r>
              <w:t>-</w:t>
            </w:r>
          </w:p>
        </w:tc>
        <w:tc>
          <w:tcPr>
            <w:tcW w:w="1102" w:type="dxa"/>
          </w:tcPr>
          <w:p w14:paraId="120428FC" w14:textId="7892B1A8" w:rsidR="005F110B" w:rsidRDefault="00CB1CD0" w:rsidP="00CB1CD0">
            <w:pPr>
              <w:jc w:val="center"/>
            </w:pPr>
            <w:r>
              <w:t>-</w:t>
            </w:r>
          </w:p>
        </w:tc>
        <w:tc>
          <w:tcPr>
            <w:tcW w:w="793" w:type="dxa"/>
          </w:tcPr>
          <w:p w14:paraId="541FF8B2" w14:textId="2EB669D3" w:rsidR="005F110B" w:rsidRDefault="00CB1CD0" w:rsidP="00CB1CD0">
            <w:pPr>
              <w:jc w:val="center"/>
            </w:pPr>
            <w:r>
              <w:t>-</w:t>
            </w:r>
          </w:p>
        </w:tc>
      </w:tr>
      <w:tr w:rsidR="005F110B" w14:paraId="5277AB94" w14:textId="5112612E" w:rsidTr="005F110B">
        <w:tc>
          <w:tcPr>
            <w:tcW w:w="1231" w:type="dxa"/>
          </w:tcPr>
          <w:p w14:paraId="09BE6901" w14:textId="18ACCD32" w:rsidR="005F110B" w:rsidRPr="001A23F7" w:rsidRDefault="005F110B" w:rsidP="00CB1CD0">
            <w:pPr>
              <w:rPr>
                <w:b/>
                <w:bCs/>
              </w:rPr>
            </w:pPr>
            <w:r w:rsidRPr="001A23F7">
              <w:rPr>
                <w:b/>
                <w:bCs/>
              </w:rPr>
              <w:t>Random forest</w:t>
            </w:r>
          </w:p>
        </w:tc>
        <w:tc>
          <w:tcPr>
            <w:tcW w:w="736" w:type="dxa"/>
          </w:tcPr>
          <w:p w14:paraId="68CEF58C" w14:textId="3705E7D7" w:rsidR="005F110B" w:rsidRDefault="00BF175D" w:rsidP="00CB1CD0">
            <w:pPr>
              <w:jc w:val="center"/>
            </w:pPr>
            <w:r w:rsidRPr="00BF175D">
              <w:t>0.94</w:t>
            </w:r>
          </w:p>
        </w:tc>
        <w:tc>
          <w:tcPr>
            <w:tcW w:w="1129" w:type="dxa"/>
          </w:tcPr>
          <w:p w14:paraId="66AEDFD0" w14:textId="759F2F3F" w:rsidR="005F110B" w:rsidRDefault="00BF175D" w:rsidP="00CB1CD0">
            <w:pPr>
              <w:jc w:val="center"/>
            </w:pPr>
            <w:r w:rsidRPr="00BF175D">
              <w:t>0.94</w:t>
            </w:r>
          </w:p>
        </w:tc>
        <w:tc>
          <w:tcPr>
            <w:tcW w:w="941" w:type="dxa"/>
          </w:tcPr>
          <w:p w14:paraId="5DCD143D" w14:textId="51CA3843" w:rsidR="005F110B" w:rsidRDefault="00BF175D" w:rsidP="00CB1CD0">
            <w:pPr>
              <w:jc w:val="center"/>
            </w:pPr>
            <w:r w:rsidRPr="00BF175D">
              <w:t>0.95</w:t>
            </w:r>
          </w:p>
        </w:tc>
        <w:tc>
          <w:tcPr>
            <w:tcW w:w="734" w:type="dxa"/>
          </w:tcPr>
          <w:p w14:paraId="1F8E54A9" w14:textId="48DC6FC5" w:rsidR="005F110B" w:rsidRDefault="00E346AC" w:rsidP="00CB1CD0">
            <w:pPr>
              <w:jc w:val="center"/>
            </w:pPr>
            <w:r w:rsidRPr="00E346AC">
              <w:t>0.93</w:t>
            </w:r>
          </w:p>
        </w:tc>
        <w:tc>
          <w:tcPr>
            <w:tcW w:w="1128" w:type="dxa"/>
          </w:tcPr>
          <w:p w14:paraId="32528B79" w14:textId="64829010" w:rsidR="005F110B" w:rsidRDefault="00E346AC" w:rsidP="00CB1CD0">
            <w:pPr>
              <w:jc w:val="center"/>
            </w:pPr>
            <w:r w:rsidRPr="00E346AC">
              <w:t>0.95</w:t>
            </w:r>
          </w:p>
        </w:tc>
        <w:tc>
          <w:tcPr>
            <w:tcW w:w="942" w:type="dxa"/>
          </w:tcPr>
          <w:p w14:paraId="23BD5DA7" w14:textId="73FF3DCF" w:rsidR="005F110B" w:rsidRDefault="007F7460" w:rsidP="00CB1CD0">
            <w:pPr>
              <w:jc w:val="center"/>
            </w:pPr>
            <w:r w:rsidRPr="007F7460">
              <w:t>0.92</w:t>
            </w:r>
          </w:p>
        </w:tc>
        <w:tc>
          <w:tcPr>
            <w:tcW w:w="660" w:type="dxa"/>
          </w:tcPr>
          <w:p w14:paraId="32BE8817" w14:textId="27069DCB" w:rsidR="005F110B" w:rsidRDefault="00CB1CD0" w:rsidP="00CB1CD0">
            <w:pPr>
              <w:jc w:val="center"/>
            </w:pPr>
            <w:r>
              <w:t>-</w:t>
            </w:r>
          </w:p>
        </w:tc>
        <w:tc>
          <w:tcPr>
            <w:tcW w:w="1102" w:type="dxa"/>
          </w:tcPr>
          <w:p w14:paraId="1CDB5EAF" w14:textId="43E03BEE" w:rsidR="005F110B" w:rsidRDefault="00CB1CD0" w:rsidP="00CB1CD0">
            <w:pPr>
              <w:jc w:val="center"/>
            </w:pPr>
            <w:r>
              <w:t>-</w:t>
            </w:r>
          </w:p>
        </w:tc>
        <w:tc>
          <w:tcPr>
            <w:tcW w:w="793" w:type="dxa"/>
          </w:tcPr>
          <w:p w14:paraId="492714E0" w14:textId="0C67E25F" w:rsidR="005F110B" w:rsidRDefault="00CB1CD0" w:rsidP="00CB1CD0">
            <w:pPr>
              <w:jc w:val="center"/>
            </w:pPr>
            <w:r>
              <w:t>-</w:t>
            </w:r>
          </w:p>
        </w:tc>
      </w:tr>
      <w:tr w:rsidR="005F110B" w14:paraId="422422F4" w14:textId="046F31F8" w:rsidTr="005F110B">
        <w:tc>
          <w:tcPr>
            <w:tcW w:w="1231" w:type="dxa"/>
          </w:tcPr>
          <w:p w14:paraId="53B1ACDA" w14:textId="0C55FA3C" w:rsidR="005F110B" w:rsidRDefault="005F110B" w:rsidP="00CB1CD0">
            <w:proofErr w:type="spellStart"/>
            <w:r>
              <w:t>XGBoost</w:t>
            </w:r>
            <w:proofErr w:type="spellEnd"/>
          </w:p>
        </w:tc>
        <w:tc>
          <w:tcPr>
            <w:tcW w:w="736" w:type="dxa"/>
          </w:tcPr>
          <w:p w14:paraId="62411736" w14:textId="11E47D92" w:rsidR="005F110B" w:rsidRDefault="00BF175D" w:rsidP="00CB1CD0">
            <w:pPr>
              <w:jc w:val="center"/>
            </w:pPr>
            <w:r w:rsidRPr="00BF175D">
              <w:t>0.89</w:t>
            </w:r>
          </w:p>
        </w:tc>
        <w:tc>
          <w:tcPr>
            <w:tcW w:w="1129" w:type="dxa"/>
          </w:tcPr>
          <w:p w14:paraId="762461A8" w14:textId="3DAFFAC9" w:rsidR="005F110B" w:rsidRDefault="008B069A" w:rsidP="00CB1CD0">
            <w:pPr>
              <w:jc w:val="center"/>
            </w:pPr>
            <w:r w:rsidRPr="008B069A">
              <w:t>0.88</w:t>
            </w:r>
          </w:p>
        </w:tc>
        <w:tc>
          <w:tcPr>
            <w:tcW w:w="941" w:type="dxa"/>
          </w:tcPr>
          <w:p w14:paraId="6CC37193" w14:textId="591DB078" w:rsidR="005F110B" w:rsidRDefault="008B069A" w:rsidP="00CB1CD0">
            <w:pPr>
              <w:jc w:val="center"/>
            </w:pPr>
            <w:r w:rsidRPr="008B069A">
              <w:t>0.90</w:t>
            </w:r>
          </w:p>
        </w:tc>
        <w:tc>
          <w:tcPr>
            <w:tcW w:w="734" w:type="dxa"/>
          </w:tcPr>
          <w:p w14:paraId="20E904DF" w14:textId="11548736" w:rsidR="005F110B" w:rsidRDefault="007F7460" w:rsidP="00CB1CD0">
            <w:pPr>
              <w:jc w:val="center"/>
            </w:pPr>
            <w:r w:rsidRPr="007F7460">
              <w:t>0.84</w:t>
            </w:r>
          </w:p>
        </w:tc>
        <w:tc>
          <w:tcPr>
            <w:tcW w:w="1128" w:type="dxa"/>
          </w:tcPr>
          <w:p w14:paraId="266CAB37" w14:textId="386D6BCF" w:rsidR="005F110B" w:rsidRDefault="007F7460" w:rsidP="00CB1CD0">
            <w:pPr>
              <w:jc w:val="center"/>
            </w:pPr>
            <w:r w:rsidRPr="007F7460">
              <w:t>0.85</w:t>
            </w:r>
          </w:p>
        </w:tc>
        <w:tc>
          <w:tcPr>
            <w:tcW w:w="942" w:type="dxa"/>
          </w:tcPr>
          <w:p w14:paraId="31F12C68" w14:textId="645B7505" w:rsidR="005F110B" w:rsidRDefault="007F7460" w:rsidP="00CB1CD0">
            <w:pPr>
              <w:jc w:val="center"/>
            </w:pPr>
            <w:r w:rsidRPr="007F7460">
              <w:t>0.84</w:t>
            </w:r>
          </w:p>
        </w:tc>
        <w:tc>
          <w:tcPr>
            <w:tcW w:w="660" w:type="dxa"/>
          </w:tcPr>
          <w:p w14:paraId="0C4159F1" w14:textId="0863FFE0" w:rsidR="005F110B" w:rsidRDefault="00CB1CD0" w:rsidP="00CB1CD0">
            <w:pPr>
              <w:jc w:val="center"/>
            </w:pPr>
            <w:r>
              <w:t>-</w:t>
            </w:r>
          </w:p>
        </w:tc>
        <w:tc>
          <w:tcPr>
            <w:tcW w:w="1102" w:type="dxa"/>
          </w:tcPr>
          <w:p w14:paraId="4C1261C0" w14:textId="7F5BF20A" w:rsidR="005F110B" w:rsidRDefault="00CB1CD0" w:rsidP="00CB1CD0">
            <w:pPr>
              <w:jc w:val="center"/>
            </w:pPr>
            <w:r>
              <w:t>-</w:t>
            </w:r>
          </w:p>
        </w:tc>
        <w:tc>
          <w:tcPr>
            <w:tcW w:w="793" w:type="dxa"/>
          </w:tcPr>
          <w:p w14:paraId="38DCA267" w14:textId="05615648" w:rsidR="005F110B" w:rsidRDefault="00CB1CD0" w:rsidP="00CB1CD0">
            <w:pPr>
              <w:jc w:val="center"/>
            </w:pPr>
            <w:r>
              <w:t>-</w:t>
            </w:r>
          </w:p>
        </w:tc>
      </w:tr>
      <w:tr w:rsidR="005F110B" w14:paraId="6572430B" w14:textId="5E967A5A" w:rsidTr="005F110B">
        <w:tc>
          <w:tcPr>
            <w:tcW w:w="1231" w:type="dxa"/>
          </w:tcPr>
          <w:p w14:paraId="0EB1D486" w14:textId="452BFE16" w:rsidR="005F110B" w:rsidRDefault="005F110B" w:rsidP="00CB1CD0">
            <w:proofErr w:type="spellStart"/>
            <w:r>
              <w:t>DeepL</w:t>
            </w:r>
            <w:proofErr w:type="spellEnd"/>
          </w:p>
        </w:tc>
        <w:tc>
          <w:tcPr>
            <w:tcW w:w="736" w:type="dxa"/>
          </w:tcPr>
          <w:p w14:paraId="5732D4C5" w14:textId="77777777" w:rsidR="005F110B" w:rsidRDefault="005F110B" w:rsidP="00CB1CD0">
            <w:pPr>
              <w:jc w:val="center"/>
            </w:pPr>
          </w:p>
        </w:tc>
        <w:tc>
          <w:tcPr>
            <w:tcW w:w="1129" w:type="dxa"/>
          </w:tcPr>
          <w:p w14:paraId="54197D54" w14:textId="77777777" w:rsidR="005F110B" w:rsidRDefault="005F110B" w:rsidP="00CB1CD0">
            <w:pPr>
              <w:jc w:val="center"/>
            </w:pPr>
          </w:p>
        </w:tc>
        <w:tc>
          <w:tcPr>
            <w:tcW w:w="941" w:type="dxa"/>
          </w:tcPr>
          <w:p w14:paraId="70E9F1B4" w14:textId="77777777" w:rsidR="005F110B" w:rsidRDefault="005F110B" w:rsidP="00CB1CD0">
            <w:pPr>
              <w:jc w:val="center"/>
            </w:pPr>
          </w:p>
        </w:tc>
        <w:tc>
          <w:tcPr>
            <w:tcW w:w="734" w:type="dxa"/>
          </w:tcPr>
          <w:p w14:paraId="59EA7FB3" w14:textId="77777777" w:rsidR="005F110B" w:rsidRDefault="005F110B" w:rsidP="00CB1CD0">
            <w:pPr>
              <w:jc w:val="center"/>
            </w:pPr>
          </w:p>
        </w:tc>
        <w:tc>
          <w:tcPr>
            <w:tcW w:w="1128" w:type="dxa"/>
          </w:tcPr>
          <w:p w14:paraId="1431D2DE" w14:textId="77777777" w:rsidR="005F110B" w:rsidRDefault="005F110B" w:rsidP="00CB1CD0">
            <w:pPr>
              <w:jc w:val="center"/>
            </w:pPr>
          </w:p>
        </w:tc>
        <w:tc>
          <w:tcPr>
            <w:tcW w:w="942" w:type="dxa"/>
          </w:tcPr>
          <w:p w14:paraId="56734425" w14:textId="77777777" w:rsidR="005F110B" w:rsidRDefault="005F110B" w:rsidP="00CB1CD0">
            <w:pPr>
              <w:jc w:val="center"/>
            </w:pPr>
          </w:p>
        </w:tc>
        <w:tc>
          <w:tcPr>
            <w:tcW w:w="660" w:type="dxa"/>
          </w:tcPr>
          <w:p w14:paraId="1F0A33CF" w14:textId="77777777" w:rsidR="005F110B" w:rsidRDefault="005F110B" w:rsidP="00CB1CD0">
            <w:pPr>
              <w:jc w:val="center"/>
            </w:pPr>
          </w:p>
        </w:tc>
        <w:tc>
          <w:tcPr>
            <w:tcW w:w="1102" w:type="dxa"/>
          </w:tcPr>
          <w:p w14:paraId="36012406" w14:textId="77777777" w:rsidR="005F110B" w:rsidRDefault="005F110B" w:rsidP="00CB1CD0">
            <w:pPr>
              <w:jc w:val="center"/>
            </w:pPr>
          </w:p>
        </w:tc>
        <w:tc>
          <w:tcPr>
            <w:tcW w:w="793" w:type="dxa"/>
          </w:tcPr>
          <w:p w14:paraId="4DE0B1AD" w14:textId="77777777" w:rsidR="005F110B" w:rsidRDefault="005F110B" w:rsidP="00CB1CD0">
            <w:pPr>
              <w:jc w:val="center"/>
            </w:pPr>
          </w:p>
        </w:tc>
      </w:tr>
    </w:tbl>
    <w:p w14:paraId="1EAF5BA2" w14:textId="77777777" w:rsidR="004E1A07" w:rsidRDefault="004E1A07" w:rsidP="0025689C">
      <w:pPr>
        <w:jc w:val="both"/>
      </w:pPr>
    </w:p>
    <w:p w14:paraId="38B931A9" w14:textId="77777777" w:rsidR="0025689C" w:rsidRPr="00DF6B0E" w:rsidRDefault="0025689C" w:rsidP="00DF6B0E"/>
    <w:sectPr w:rsidR="0025689C" w:rsidRPr="00DF6B0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A818" w14:textId="77777777" w:rsidR="00672E02" w:rsidRDefault="00672E02" w:rsidP="00454916">
      <w:pPr>
        <w:spacing w:after="0" w:line="240" w:lineRule="auto"/>
      </w:pPr>
      <w:r>
        <w:separator/>
      </w:r>
    </w:p>
  </w:endnote>
  <w:endnote w:type="continuationSeparator" w:id="0">
    <w:p w14:paraId="01136A4F" w14:textId="77777777" w:rsidR="00672E02" w:rsidRDefault="00672E02"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B90F" w14:textId="77777777" w:rsidR="00672E02" w:rsidRDefault="00672E02" w:rsidP="00454916">
      <w:pPr>
        <w:spacing w:after="0" w:line="240" w:lineRule="auto"/>
      </w:pPr>
      <w:r>
        <w:separator/>
      </w:r>
    </w:p>
  </w:footnote>
  <w:footnote w:type="continuationSeparator" w:id="0">
    <w:p w14:paraId="2F8E058A" w14:textId="77777777" w:rsidR="00672E02" w:rsidRDefault="00672E02"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574B9"/>
    <w:rsid w:val="00191FBF"/>
    <w:rsid w:val="001A23F7"/>
    <w:rsid w:val="001A37CC"/>
    <w:rsid w:val="001A5817"/>
    <w:rsid w:val="001D247B"/>
    <w:rsid w:val="001E4277"/>
    <w:rsid w:val="001F2B60"/>
    <w:rsid w:val="0020448F"/>
    <w:rsid w:val="00205556"/>
    <w:rsid w:val="0025689C"/>
    <w:rsid w:val="002647FB"/>
    <w:rsid w:val="002A185C"/>
    <w:rsid w:val="002B4434"/>
    <w:rsid w:val="002E4478"/>
    <w:rsid w:val="0032192B"/>
    <w:rsid w:val="00323AB0"/>
    <w:rsid w:val="00364F9F"/>
    <w:rsid w:val="00382554"/>
    <w:rsid w:val="003E42DE"/>
    <w:rsid w:val="003E4D4C"/>
    <w:rsid w:val="00416B65"/>
    <w:rsid w:val="0042643B"/>
    <w:rsid w:val="00454916"/>
    <w:rsid w:val="00455331"/>
    <w:rsid w:val="00466D63"/>
    <w:rsid w:val="00485211"/>
    <w:rsid w:val="004B7A00"/>
    <w:rsid w:val="004E1A07"/>
    <w:rsid w:val="00511768"/>
    <w:rsid w:val="00526AD8"/>
    <w:rsid w:val="0058201B"/>
    <w:rsid w:val="00590D9D"/>
    <w:rsid w:val="0059379B"/>
    <w:rsid w:val="00595146"/>
    <w:rsid w:val="005B7138"/>
    <w:rsid w:val="005C023C"/>
    <w:rsid w:val="005F110B"/>
    <w:rsid w:val="00672E02"/>
    <w:rsid w:val="006932B6"/>
    <w:rsid w:val="006A067E"/>
    <w:rsid w:val="006D6132"/>
    <w:rsid w:val="006E1622"/>
    <w:rsid w:val="006F01F5"/>
    <w:rsid w:val="006F238D"/>
    <w:rsid w:val="00702EE2"/>
    <w:rsid w:val="007554EF"/>
    <w:rsid w:val="0078643B"/>
    <w:rsid w:val="007B54CE"/>
    <w:rsid w:val="007D1557"/>
    <w:rsid w:val="007E03EB"/>
    <w:rsid w:val="007F7460"/>
    <w:rsid w:val="00856707"/>
    <w:rsid w:val="008B069A"/>
    <w:rsid w:val="008C0FC3"/>
    <w:rsid w:val="00920701"/>
    <w:rsid w:val="00920D1A"/>
    <w:rsid w:val="00940554"/>
    <w:rsid w:val="00970EBF"/>
    <w:rsid w:val="009B26A7"/>
    <w:rsid w:val="009B2F2D"/>
    <w:rsid w:val="009C2038"/>
    <w:rsid w:val="00A13D65"/>
    <w:rsid w:val="00A44746"/>
    <w:rsid w:val="00A46B9F"/>
    <w:rsid w:val="00A73074"/>
    <w:rsid w:val="00A8222C"/>
    <w:rsid w:val="00A831D8"/>
    <w:rsid w:val="00A9092E"/>
    <w:rsid w:val="00AB3583"/>
    <w:rsid w:val="00AF1010"/>
    <w:rsid w:val="00B1099F"/>
    <w:rsid w:val="00B17927"/>
    <w:rsid w:val="00B31AF7"/>
    <w:rsid w:val="00B3409A"/>
    <w:rsid w:val="00B3577C"/>
    <w:rsid w:val="00B70AB1"/>
    <w:rsid w:val="00B7157F"/>
    <w:rsid w:val="00BD29C1"/>
    <w:rsid w:val="00BE40F1"/>
    <w:rsid w:val="00BF166C"/>
    <w:rsid w:val="00BF175D"/>
    <w:rsid w:val="00C022F1"/>
    <w:rsid w:val="00C74B02"/>
    <w:rsid w:val="00CA0179"/>
    <w:rsid w:val="00CA27CB"/>
    <w:rsid w:val="00CB0DFA"/>
    <w:rsid w:val="00CB1CD0"/>
    <w:rsid w:val="00CC4DD4"/>
    <w:rsid w:val="00CD3649"/>
    <w:rsid w:val="00CF04C7"/>
    <w:rsid w:val="00D2707F"/>
    <w:rsid w:val="00D325C3"/>
    <w:rsid w:val="00D375F4"/>
    <w:rsid w:val="00D47401"/>
    <w:rsid w:val="00D720F2"/>
    <w:rsid w:val="00D77C4E"/>
    <w:rsid w:val="00D80927"/>
    <w:rsid w:val="00DB55E8"/>
    <w:rsid w:val="00DC6AF8"/>
    <w:rsid w:val="00DF6B0E"/>
    <w:rsid w:val="00E03340"/>
    <w:rsid w:val="00E11303"/>
    <w:rsid w:val="00E120E7"/>
    <w:rsid w:val="00E15A59"/>
    <w:rsid w:val="00E26780"/>
    <w:rsid w:val="00E346AC"/>
    <w:rsid w:val="00E37D16"/>
    <w:rsid w:val="00E56E40"/>
    <w:rsid w:val="00ED0DCB"/>
    <w:rsid w:val="00EF7ABF"/>
    <w:rsid w:val="00EF7DA7"/>
    <w:rsid w:val="00F41185"/>
    <w:rsid w:val="00F5602B"/>
    <w:rsid w:val="00F716E0"/>
    <w:rsid w:val="00F71C75"/>
    <w:rsid w:val="00F97BA9"/>
    <w:rsid w:val="00FC1710"/>
    <w:rsid w:val="00FF20B6"/>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0">
      <w:bodyDiv w:val="1"/>
      <w:marLeft w:val="0"/>
      <w:marRight w:val="0"/>
      <w:marTop w:val="0"/>
      <w:marBottom w:val="0"/>
      <w:divBdr>
        <w:top w:val="none" w:sz="0" w:space="0" w:color="auto"/>
        <w:left w:val="none" w:sz="0" w:space="0" w:color="auto"/>
        <w:bottom w:val="none" w:sz="0" w:space="0" w:color="auto"/>
        <w:right w:val="none" w:sz="0" w:space="0" w:color="auto"/>
      </w:divBdr>
    </w:div>
    <w:div w:id="76830913">
      <w:bodyDiv w:val="1"/>
      <w:marLeft w:val="0"/>
      <w:marRight w:val="0"/>
      <w:marTop w:val="0"/>
      <w:marBottom w:val="0"/>
      <w:divBdr>
        <w:top w:val="none" w:sz="0" w:space="0" w:color="auto"/>
        <w:left w:val="none" w:sz="0" w:space="0" w:color="auto"/>
        <w:bottom w:val="none" w:sz="0" w:space="0" w:color="auto"/>
        <w:right w:val="none" w:sz="0" w:space="0" w:color="auto"/>
      </w:divBdr>
    </w:div>
    <w:div w:id="338389122">
      <w:bodyDiv w:val="1"/>
      <w:marLeft w:val="0"/>
      <w:marRight w:val="0"/>
      <w:marTop w:val="0"/>
      <w:marBottom w:val="0"/>
      <w:divBdr>
        <w:top w:val="none" w:sz="0" w:space="0" w:color="auto"/>
        <w:left w:val="none" w:sz="0" w:space="0" w:color="auto"/>
        <w:bottom w:val="none" w:sz="0" w:space="0" w:color="auto"/>
        <w:right w:val="none" w:sz="0" w:space="0" w:color="auto"/>
      </w:divBdr>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473530214">
      <w:bodyDiv w:val="1"/>
      <w:marLeft w:val="0"/>
      <w:marRight w:val="0"/>
      <w:marTop w:val="0"/>
      <w:marBottom w:val="0"/>
      <w:divBdr>
        <w:top w:val="none" w:sz="0" w:space="0" w:color="auto"/>
        <w:left w:val="none" w:sz="0" w:space="0" w:color="auto"/>
        <w:bottom w:val="none" w:sz="0" w:space="0" w:color="auto"/>
        <w:right w:val="none" w:sz="0" w:space="0" w:color="auto"/>
      </w:divBdr>
    </w:div>
    <w:div w:id="697317362">
      <w:bodyDiv w:val="1"/>
      <w:marLeft w:val="0"/>
      <w:marRight w:val="0"/>
      <w:marTop w:val="0"/>
      <w:marBottom w:val="0"/>
      <w:divBdr>
        <w:top w:val="none" w:sz="0" w:space="0" w:color="auto"/>
        <w:left w:val="none" w:sz="0" w:space="0" w:color="auto"/>
        <w:bottom w:val="none" w:sz="0" w:space="0" w:color="auto"/>
        <w:right w:val="none" w:sz="0" w:space="0" w:color="auto"/>
      </w:divBdr>
    </w:div>
    <w:div w:id="877932142">
      <w:bodyDiv w:val="1"/>
      <w:marLeft w:val="0"/>
      <w:marRight w:val="0"/>
      <w:marTop w:val="0"/>
      <w:marBottom w:val="0"/>
      <w:divBdr>
        <w:top w:val="none" w:sz="0" w:space="0" w:color="auto"/>
        <w:left w:val="none" w:sz="0" w:space="0" w:color="auto"/>
        <w:bottom w:val="none" w:sz="0" w:space="0" w:color="auto"/>
        <w:right w:val="none" w:sz="0" w:space="0" w:color="auto"/>
      </w:divBdr>
    </w:div>
    <w:div w:id="1481851787">
      <w:bodyDiv w:val="1"/>
      <w:marLeft w:val="0"/>
      <w:marRight w:val="0"/>
      <w:marTop w:val="0"/>
      <w:marBottom w:val="0"/>
      <w:divBdr>
        <w:top w:val="none" w:sz="0" w:space="0" w:color="auto"/>
        <w:left w:val="none" w:sz="0" w:space="0" w:color="auto"/>
        <w:bottom w:val="none" w:sz="0" w:space="0" w:color="auto"/>
        <w:right w:val="none" w:sz="0" w:space="0" w:color="auto"/>
      </w:divBdr>
    </w:div>
    <w:div w:id="1496411586">
      <w:bodyDiv w:val="1"/>
      <w:marLeft w:val="0"/>
      <w:marRight w:val="0"/>
      <w:marTop w:val="0"/>
      <w:marBottom w:val="0"/>
      <w:divBdr>
        <w:top w:val="none" w:sz="0" w:space="0" w:color="auto"/>
        <w:left w:val="none" w:sz="0" w:space="0" w:color="auto"/>
        <w:bottom w:val="none" w:sz="0" w:space="0" w:color="auto"/>
        <w:right w:val="none" w:sz="0" w:space="0" w:color="auto"/>
      </w:divBdr>
    </w:div>
    <w:div w:id="1597595647">
      <w:bodyDiv w:val="1"/>
      <w:marLeft w:val="0"/>
      <w:marRight w:val="0"/>
      <w:marTop w:val="0"/>
      <w:marBottom w:val="0"/>
      <w:divBdr>
        <w:top w:val="none" w:sz="0" w:space="0" w:color="auto"/>
        <w:left w:val="none" w:sz="0" w:space="0" w:color="auto"/>
        <w:bottom w:val="none" w:sz="0" w:space="0" w:color="auto"/>
        <w:right w:val="none" w:sz="0" w:space="0" w:color="auto"/>
      </w:divBdr>
    </w:div>
    <w:div w:id="1756170678">
      <w:bodyDiv w:val="1"/>
      <w:marLeft w:val="0"/>
      <w:marRight w:val="0"/>
      <w:marTop w:val="0"/>
      <w:marBottom w:val="0"/>
      <w:divBdr>
        <w:top w:val="none" w:sz="0" w:space="0" w:color="auto"/>
        <w:left w:val="none" w:sz="0" w:space="0" w:color="auto"/>
        <w:bottom w:val="none" w:sz="0" w:space="0" w:color="auto"/>
        <w:right w:val="none" w:sz="0" w:space="0" w:color="auto"/>
      </w:divBdr>
    </w:div>
    <w:div w:id="1778140635">
      <w:bodyDiv w:val="1"/>
      <w:marLeft w:val="0"/>
      <w:marRight w:val="0"/>
      <w:marTop w:val="0"/>
      <w:marBottom w:val="0"/>
      <w:divBdr>
        <w:top w:val="none" w:sz="0" w:space="0" w:color="auto"/>
        <w:left w:val="none" w:sz="0" w:space="0" w:color="auto"/>
        <w:bottom w:val="none" w:sz="0" w:space="0" w:color="auto"/>
        <w:right w:val="none" w:sz="0" w:space="0" w:color="auto"/>
      </w:divBdr>
    </w:div>
    <w:div w:id="18895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3404</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29</cp:revision>
  <dcterms:created xsi:type="dcterms:W3CDTF">2022-06-02T14:40:00Z</dcterms:created>
  <dcterms:modified xsi:type="dcterms:W3CDTF">2022-06-10T17:01:00Z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