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Создаим файл lab10-1.asm:</w:t>
      </w:r>
    </w:p>
    <w:p>
      <w:pPr>
        <w:numPr>
          <w:ilvl w:val="0"/>
          <w:numId w:val="1001"/>
        </w:numPr>
      </w:pPr>
      <w:r>
        <w:t xml:space="preserve">Введём в этот файл программу из лабораторной(Листинг 10.1). (рис. 1, 2)</w:t>
      </w:r>
    </w:p>
    <w:p>
      <w:pPr>
        <w:pStyle w:val="CaptionedFigure"/>
      </w:pPr>
      <w:bookmarkStart w:id="24" w:name="fig:001"/>
      <w:r>
        <w:drawing>
          <wp:inline>
            <wp:extent cx="4860757" cy="7218947"/>
            <wp:effectExtent b="0" l="0" r="0" t="0"/>
            <wp:docPr descr="Рис. 1: Файл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72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28" w:name="fig:002"/>
      <w:r>
        <w:drawing>
          <wp:inline>
            <wp:extent cx="5334000" cy="2418462"/>
            <wp:effectExtent b="0" l="0" r="0" t="0"/>
            <wp:docPr descr="Рис. 2: Работа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Изменим текст программы, по задаче из лабораторной, чтобы вычислялось f(g(x)), где f(x) = 2x + 7, g(x) = 3x − 1(рис. 3, 4)</w:t>
      </w:r>
    </w:p>
    <w:p>
      <w:pPr>
        <w:pStyle w:val="CaptionedFigure"/>
      </w:pPr>
      <w:bookmarkStart w:id="32" w:name="fig:003"/>
      <w:r>
        <w:drawing>
          <wp:inline>
            <wp:extent cx="4726004" cy="7344075"/>
            <wp:effectExtent b="0" l="0" r="0" t="0"/>
            <wp:docPr descr="Рис. 3: Файл lab10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734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6" w:name="fig:004"/>
      <w:r>
        <w:drawing>
          <wp:inline>
            <wp:extent cx="5334000" cy="3074783"/>
            <wp:effectExtent b="0" l="0" r="0" t="0"/>
            <wp:docPr descr="Рис. 4: Работа программы lab10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3"/>
        </w:numPr>
        <w:pStyle w:val="Compact"/>
      </w:pPr>
      <w:r>
        <w:t xml:space="preserve">Создадим lab10-2.asm с текстом программы из Листинга 10.2: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5447489"/>
            <wp:effectExtent b="0" l="0" r="0" t="0"/>
            <wp:docPr descr="Рис. 5: Файл lab10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Проверьте работу программы, запустив ее в оболочке GDB:(рис. 6)</w:t>
      </w:r>
    </w:p>
    <w:p>
      <w:pPr>
        <w:pStyle w:val="CaptionedFigure"/>
      </w:pPr>
      <w:bookmarkStart w:id="44" w:name="fig:006"/>
      <w:r>
        <w:drawing>
          <wp:inline>
            <wp:extent cx="5334000" cy="3963572"/>
            <wp:effectExtent b="0" l="0" r="0" t="0"/>
            <wp:docPr descr="Рис. 6: Работа программы lab10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 и запустим её.</w:t>
      </w:r>
      <w:r>
        <w:t xml:space="preserve"> </w:t>
      </w:r>
      <w:r>
        <w:t xml:space="preserve">Так же посмотрим диассемблированный код (рис. 7, 8)</w:t>
      </w:r>
    </w:p>
    <w:p>
      <w:pPr>
        <w:pStyle w:val="CaptionedFigure"/>
      </w:pPr>
      <w:bookmarkStart w:id="48" w:name="fig:007"/>
      <w:r>
        <w:drawing>
          <wp:inline>
            <wp:extent cx="5334000" cy="3938953"/>
            <wp:effectExtent b="0" l="0" r="0" t="0"/>
            <wp:docPr descr="Рис. 7: дисассими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2" w:name="fig:008"/>
      <w:r>
        <w:drawing>
          <wp:inline>
            <wp:extent cx="5334000" cy="4518432"/>
            <wp:effectExtent b="0" l="0" r="0" t="0"/>
            <wp:docPr descr="Рис. 8: дисассими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6" w:name="fig:009"/>
      <w:r>
        <w:drawing>
          <wp:inline>
            <wp:extent cx="5334000" cy="3594519"/>
            <wp:effectExtent b="0" l="0" r="0" t="0"/>
            <wp:docPr descr="Рис. 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Выполним инструкций с помощью команды si и проследим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0" w:name="fig:010"/>
      <w:r>
        <w:drawing>
          <wp:inline>
            <wp:extent cx="5334000" cy="3592534"/>
            <wp:effectExtent b="0" l="0" r="0" t="0"/>
            <wp:docPr descr="Рис. 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4" w:name="fig:011"/>
      <w:r>
        <w:drawing>
          <wp:inline>
            <wp:extent cx="5334000" cy="3592285"/>
            <wp:effectExtent b="0" l="0" r="0" t="0"/>
            <wp:docPr descr="Рис. 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Посмотрим значение переменной msg1</w:t>
      </w:r>
      <w:r>
        <w:t xml:space="preserve"> </w:t>
      </w:r>
      <w:r>
        <w:t xml:space="preserve">Посмотрим значение переменной msg2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68" w:name="fig:012"/>
      <w:r>
        <w:drawing>
          <wp:inline>
            <wp:extent cx="5334000" cy="3614927"/>
            <wp:effectExtent b="0" l="0" r="0" t="0"/>
            <wp:docPr descr="Рис. 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значение регистра edx. С помощью команды set изменим значение регистра ebx:(рис. 13)</w:t>
      </w:r>
    </w:p>
    <w:p>
      <w:pPr>
        <w:pStyle w:val="CaptionedFigure"/>
      </w:pPr>
      <w:bookmarkStart w:id="72" w:name="fig:013"/>
      <w:r>
        <w:drawing>
          <wp:inline>
            <wp:extent cx="5334000" cy="3588327"/>
            <wp:effectExtent b="0" l="0" r="0" t="0"/>
            <wp:docPr descr="Рис. 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изменим значение регистра ebx:(рис. 14)</w:t>
      </w:r>
    </w:p>
    <w:p>
      <w:pPr>
        <w:pStyle w:val="CaptionedFigure"/>
      </w:pPr>
      <w:bookmarkStart w:id="76" w:name="fig:014"/>
      <w:r>
        <w:drawing>
          <wp:inline>
            <wp:extent cx="5334000" cy="3633216"/>
            <wp:effectExtent b="0" l="0" r="0" t="0"/>
            <wp:docPr descr="Рис. 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 lab9-2.asm. Создадим исполняемый файл.</w:t>
      </w:r>
      <w:r>
        <w:t xml:space="preserve"> </w:t>
      </w:r>
      <w:r>
        <w:t xml:space="preserve">Загрузим исполняемый файл в отладчик, указав аргументы.</w:t>
      </w:r>
    </w:p>
    <w:p>
      <w:pPr>
        <w:pStyle w:val="FirstParagraph"/>
      </w:pPr>
      <w:r>
        <w:t xml:space="preserve">Для начала установим точку остановки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Посмотрим остальные позиции стека (рис. 15)</w:t>
      </w:r>
    </w:p>
    <w:p>
      <w:pPr>
        <w:pStyle w:val="CaptionedFigure"/>
      </w:pPr>
      <w:bookmarkStart w:id="80" w:name="fig:015"/>
      <w:r>
        <w:drawing>
          <wp:inline>
            <wp:extent cx="5334000" cy="3600755"/>
            <wp:effectExtent b="0" l="0" r="0" t="0"/>
            <wp:docPr descr="Рис. 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шаг равен размеру переменной - 4 байтам., поэтому шаг изменения адреса равен 4 ([esp+4], [esp+8], [esp+12]</w:t>
      </w:r>
    </w:p>
    <w:bookmarkEnd w:id="81"/>
    <w:bookmarkStart w:id="106" w:name="самостоятельна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работы</w:t>
      </w:r>
    </w:p>
    <w:p>
      <w:pPr>
        <w:numPr>
          <w:ilvl w:val="0"/>
          <w:numId w:val="1005"/>
        </w:numPr>
        <w:pStyle w:val="Compact"/>
      </w:pPr>
      <w:r>
        <w:t xml:space="preserve">Преобразуем программу из самостоятельного задания 1, лабораторной работы №9 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5" w:name="fig:016"/>
      <w:r>
        <w:drawing>
          <wp:inline>
            <wp:extent cx="4831882" cy="7295949"/>
            <wp:effectExtent b="0" l="0" r="0" t="0"/>
            <wp:docPr descr="Рис. 16: Файл lab10-4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72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89" w:name="fig:017"/>
      <w:r>
        <w:drawing>
          <wp:inline>
            <wp:extent cx="5334000" cy="1925483"/>
            <wp:effectExtent b="0" l="0" r="0" t="0"/>
            <wp:docPr descr="Рис. 17: Работа программы lab10-4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6"/>
        </w:numPr>
        <w:pStyle w:val="Compact"/>
      </w:pPr>
      <w:r>
        <w:t xml:space="preserve">Скопируем из листинга программу, неверно рабочую. Проверим её с помощью отладчика GDB, определим ошибку и исправим ее.(рис. 18 19 20 21)</w:t>
      </w:r>
    </w:p>
    <w:p>
      <w:pPr>
        <w:pStyle w:val="CaptionedFigure"/>
      </w:pPr>
      <w:bookmarkStart w:id="93" w:name="fig:018"/>
      <w:r>
        <w:drawing>
          <wp:inline>
            <wp:extent cx="5332395" cy="4735629"/>
            <wp:effectExtent b="0" l="0" r="0" t="0"/>
            <wp:docPr descr="Рис. 18: код с ошибкой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7" w:name="fig:019"/>
      <w:r>
        <w:drawing>
          <wp:inline>
            <wp:extent cx="5334000" cy="3562068"/>
            <wp:effectExtent b="0" l="0" r="0" t="0"/>
            <wp:docPr descr="Рис. 19: отладк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Перепутан порядок аргументов у инструкции add. Так же по окончании работы в edi отправляется ebx вместо eax. Исправим програму и запустим её. Убедимся в работоспособности</w:t>
      </w:r>
    </w:p>
    <w:p>
      <w:pPr>
        <w:pStyle w:val="CaptionedFigure"/>
      </w:pPr>
      <w:bookmarkStart w:id="101" w:name="fig:020"/>
      <w:r>
        <w:drawing>
          <wp:inline>
            <wp:extent cx="4880008" cy="4822256"/>
            <wp:effectExtent b="0" l="0" r="0" t="0"/>
            <wp:docPr descr="Рис. 20: код исправлен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5" w:name="fig:021"/>
      <w:r>
        <w:drawing>
          <wp:inline>
            <wp:extent cx="5334000" cy="3584350"/>
            <wp:effectExtent b="0" l="0" r="0" t="0"/>
            <wp:docPr descr="Рис. 21: проверка работы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проверка работы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подпрограмм.</w:t>
      </w:r>
      <w:r>
        <w:t xml:space="preserve"> </w:t>
      </w:r>
      <w:r>
        <w:t xml:space="preserve">Ознакомились с методами отладки при помощи GDB и его основными возможностями.</w:t>
      </w:r>
      <w:r>
        <w:t xml:space="preserve"> </w:t>
      </w:r>
      <w:r>
        <w:t xml:space="preserve">https://github.com/Sinabon2004/study_2022-2023_arh-pc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Чесноков Артемий Павлович НПИбд-02-22</dc:creator>
  <dc:language>ru-RU</dc:language>
  <cp:keywords/>
  <dcterms:created xsi:type="dcterms:W3CDTF">2022-12-17T20:49:03Z</dcterms:created>
  <dcterms:modified xsi:type="dcterms:W3CDTF">2022-12-17T20:49:03Z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