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5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2.png" ContentType="image/png"/>
  <Override PartName="/word/media/rId4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No11</w:t>
      </w:r>
    </w:p>
    <w:p>
      <w:pPr>
        <w:pStyle w:val="Subtitle"/>
      </w:pPr>
      <w:r>
        <w:t xml:space="preserve">Работа</w:t>
      </w:r>
      <w:r>
        <w:t xml:space="preserve"> </w:t>
      </w:r>
      <w:r>
        <w:t xml:space="preserve">с</w:t>
      </w:r>
      <w:r>
        <w:t xml:space="preserve"> </w:t>
      </w:r>
      <w:r>
        <w:t xml:space="preserve">файлами</w:t>
      </w:r>
      <w:r>
        <w:t xml:space="preserve"> </w:t>
      </w:r>
      <w:r>
        <w:t xml:space="preserve">средствами</w:t>
      </w:r>
      <w:r>
        <w:t xml:space="preserve"> </w:t>
      </w:r>
      <w:r>
        <w:t xml:space="preserve">Nasm</w:t>
      </w:r>
    </w:p>
    <w:p>
      <w:pPr>
        <w:pStyle w:val="Author"/>
      </w:pPr>
      <w:r>
        <w:t xml:space="preserve">Чесноков</w:t>
      </w:r>
      <w:r>
        <w:t xml:space="preserve"> </w:t>
      </w:r>
      <w:r>
        <w:t xml:space="preserve">Артемий</w:t>
      </w:r>
      <w:r>
        <w:t xml:space="preserve"> </w:t>
      </w:r>
      <w:r>
        <w:t xml:space="preserve">Павлович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навыков написания программ для работы с файлами.</w:t>
      </w:r>
    </w:p>
    <w:bookmarkEnd w:id="20"/>
    <w:bookmarkStart w:id="41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1"/>
        </w:numPr>
        <w:pStyle w:val="Compact"/>
      </w:pPr>
      <w:r>
        <w:t xml:space="preserve">Создадим файлы readme.txt и lab11-1.asm. В asm файл введем программу из лиснинга 11.1 (рис. 1)</w:t>
      </w:r>
    </w:p>
    <w:p>
      <w:pPr>
        <w:pStyle w:val="CaptionedFigure"/>
      </w:pPr>
      <w:bookmarkStart w:id="24" w:name="fig:001"/>
      <w:r>
        <w:drawing>
          <wp:inline>
            <wp:extent cx="5334000" cy="5818909"/>
            <wp:effectExtent b="0" l="0" r="0" t="0"/>
            <wp:docPr descr="Рис. 1: Листинг 11-1" title="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8189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Рис. 1: Листинг 11-1</w:t>
      </w:r>
    </w:p>
    <w:p>
      <w:pPr>
        <w:numPr>
          <w:ilvl w:val="0"/>
          <w:numId w:val="1002"/>
        </w:numPr>
        <w:pStyle w:val="Compact"/>
      </w:pPr>
      <w:r>
        <w:t xml:space="preserve">Запустим и проверим работу (рис. 2)</w:t>
      </w:r>
    </w:p>
    <w:p>
      <w:pPr>
        <w:pStyle w:val="CaptionedFigure"/>
      </w:pPr>
      <w:bookmarkStart w:id="28" w:name="fig:002"/>
      <w:r>
        <w:drawing>
          <wp:inline>
            <wp:extent cx="5334000" cy="5818909"/>
            <wp:effectExtent b="0" l="0" r="0" t="0"/>
            <wp:docPr descr="Рис. 2: Проверка lab11-1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8189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Рис. 2: Проверка lab11-1</w:t>
      </w:r>
    </w:p>
    <w:p>
      <w:pPr>
        <w:numPr>
          <w:ilvl w:val="0"/>
          <w:numId w:val="1003"/>
        </w:numPr>
        <w:pStyle w:val="Compact"/>
      </w:pPr>
      <w:r>
        <w:t xml:space="preserve">Запретим файлу lab11-1 выполение и попробуем запустить. Из-за запрета на выполенение выходит сообщение, что у пользователя нет доступа для исполения файла (рис. 3)</w:t>
      </w:r>
    </w:p>
    <w:p>
      <w:pPr>
        <w:pStyle w:val="CaptionedFigure"/>
      </w:pPr>
      <w:bookmarkStart w:id="32" w:name="fig:003"/>
      <w:r>
        <w:drawing>
          <wp:inline>
            <wp:extent cx="5334000" cy="5818909"/>
            <wp:effectExtent b="0" l="0" r="0" t="0"/>
            <wp:docPr descr="Рис. 3: Изменение прав доступа у lab11-1" title="" id="30" name="Picture"/>
            <a:graphic>
              <a:graphicData uri="http://schemas.openxmlformats.org/drawingml/2006/picture">
                <pic:pic>
                  <pic:nvPicPr>
                    <pic:cNvPr descr="image/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8189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Рис. 3: Изменение прав доступа у lab11-1</w:t>
      </w:r>
    </w:p>
    <w:p>
      <w:pPr>
        <w:numPr>
          <w:ilvl w:val="0"/>
          <w:numId w:val="1004"/>
        </w:numPr>
        <w:pStyle w:val="Compact"/>
      </w:pPr>
      <w:r>
        <w:t xml:space="preserve">Разрешим исполнять файл lab11-1.asm и попробуем запустить. У нас выходит ошибка с таким посылом, что ошибка синтаксиса программы. Это происходит, т.к. файл asm не является исполняемым (рис. 4)</w:t>
      </w:r>
    </w:p>
    <w:p>
      <w:pPr>
        <w:pStyle w:val="CaptionedFigure"/>
      </w:pPr>
      <w:bookmarkStart w:id="36" w:name="fig:004"/>
      <w:r>
        <w:drawing>
          <wp:inline>
            <wp:extent cx="5334000" cy="5818909"/>
            <wp:effectExtent b="0" l="0" r="0" t="0"/>
            <wp:docPr descr="Рис. 4: Изменение прав доступа у lab11-1.asm" title="" id="34" name="Picture"/>
            <a:graphic>
              <a:graphicData uri="http://schemas.openxmlformats.org/drawingml/2006/picture">
                <pic:pic>
                  <pic:nvPicPr>
                    <pic:cNvPr descr="image/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8189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Рис. 4: Изменение прав доступа у lab11-1.asm</w:t>
      </w:r>
    </w:p>
    <w:p>
      <w:pPr>
        <w:numPr>
          <w:ilvl w:val="0"/>
          <w:numId w:val="1005"/>
        </w:numPr>
        <w:pStyle w:val="Compact"/>
      </w:pPr>
      <w:r>
        <w:t xml:space="preserve">Мой вариант 13. По таблице 11.4 я должен присвоить файлу readme.txt права -w- –x — . Сделаем это (рис. 5)</w:t>
      </w:r>
    </w:p>
    <w:p>
      <w:pPr>
        <w:pStyle w:val="CaptionedFigure"/>
      </w:pPr>
      <w:bookmarkStart w:id="40" w:name="fig:005"/>
      <w:r>
        <w:drawing>
          <wp:inline>
            <wp:extent cx="5334000" cy="5818909"/>
            <wp:effectExtent b="0" l="0" r="0" t="0"/>
            <wp:docPr descr="Рис. 5: Изменение прав доступа readme.txt" title="" id="38" name="Picture"/>
            <a:graphic>
              <a:graphicData uri="http://schemas.openxmlformats.org/drawingml/2006/picture">
                <pic:pic>
                  <pic:nvPicPr>
                    <pic:cNvPr descr="image/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8189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Рис. 5: Изменение прав доступа readme.txt</w:t>
      </w:r>
    </w:p>
    <w:bookmarkEnd w:id="41"/>
    <w:bookmarkStart w:id="50" w:name="самостоятельная-работа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Самостоятельная работа</w:t>
      </w:r>
    </w:p>
    <w:p>
      <w:pPr>
        <w:numPr>
          <w:ilvl w:val="0"/>
          <w:numId w:val="1006"/>
        </w:numPr>
        <w:pStyle w:val="Compact"/>
      </w:pPr>
      <w:r>
        <w:t xml:space="preserve">Создадим файлы name.txt и sam.asm для выполения самостоятельной работы. Напишем программу для выполения задач в sam.asm.(рис. 6)</w:t>
      </w:r>
    </w:p>
    <w:p>
      <w:pPr>
        <w:pStyle w:val="CaptionedFigure"/>
      </w:pPr>
      <w:bookmarkStart w:id="45" w:name="fig:006"/>
      <w:r>
        <w:drawing>
          <wp:inline>
            <wp:extent cx="5334000" cy="5818909"/>
            <wp:effectExtent b="0" l="0" r="0" t="0"/>
            <wp:docPr descr="Рис. 6: Листинг sam.asm" title="" id="43" name="Picture"/>
            <a:graphic>
              <a:graphicData uri="http://schemas.openxmlformats.org/drawingml/2006/picture">
                <pic:pic>
                  <pic:nvPicPr>
                    <pic:cNvPr descr="image/6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8189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Рис. 6: Листинг sam.asm</w:t>
      </w:r>
    </w:p>
    <w:p>
      <w:pPr>
        <w:numPr>
          <w:ilvl w:val="0"/>
          <w:numId w:val="1007"/>
        </w:numPr>
        <w:pStyle w:val="Compact"/>
      </w:pPr>
      <w:r>
        <w:t xml:space="preserve">Проверим работу по инструкции из самостоятельной(рис. 7)</w:t>
      </w:r>
    </w:p>
    <w:p>
      <w:pPr>
        <w:pStyle w:val="CaptionedFigure"/>
      </w:pPr>
      <w:bookmarkStart w:id="49" w:name="fig:007"/>
      <w:r>
        <w:drawing>
          <wp:inline>
            <wp:extent cx="5334000" cy="5818909"/>
            <wp:effectExtent b="0" l="0" r="0" t="0"/>
            <wp:docPr descr="Рис. 7: Проверка сомостоятельной" title="" id="47" name="Picture"/>
            <a:graphic>
              <a:graphicData uri="http://schemas.openxmlformats.org/drawingml/2006/picture">
                <pic:pic>
                  <pic:nvPicPr>
                    <pic:cNvPr descr="image/7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8189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ImageCaption"/>
      </w:pPr>
      <w:r>
        <w:t xml:space="preserve">Рис. 7: Проверка сомостоятельной</w:t>
      </w:r>
    </w:p>
    <w:bookmarkEnd w:id="50"/>
    <w:bookmarkStart w:id="51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На данной лабораторной работы я научился писать программы NASM для работы с файлами.</w:t>
      </w:r>
    </w:p>
    <w:p>
      <w:pPr>
        <w:pStyle w:val="BodyText"/>
      </w:pPr>
      <w:r>
        <w:t xml:space="preserve">https://github.com/Sinabon2004/study_2022-2023_arh-pc</w:t>
      </w:r>
    </w:p>
    <w:bookmarkEnd w:id="5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7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2" Target="media/rId42.png" /><Relationship Type="http://schemas.openxmlformats.org/officeDocument/2006/relationships/image" Id="rId46" Target="media/rId4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абораторная работа No11</dc:title>
  <dc:creator>Чесноков Артемий Павлович</dc:creator>
  <dc:language>ru-RU</dc:language>
  <cp:keywords/>
  <dcterms:created xsi:type="dcterms:W3CDTF">2022-12-24T16:14:01Z</dcterms:created>
  <dcterms:modified xsi:type="dcterms:W3CDTF">2022-12-24T16:14:01Z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">
    <vt:lpwstr>True</vt:lpwstr>
  </property>
  <property fmtid="{D5CDD505-2E9C-101B-9397-08002B2CF9AE}" pid="44" name="lofTitle">
    <vt:lpwstr>Список иллюстраций</vt:lpwstr>
  </property>
  <property fmtid="{D5CDD505-2E9C-101B-9397-08002B2CF9AE}" pid="45" name="lolTitle">
    <vt:lpwstr>Листинги</vt:lpwstr>
  </property>
  <property fmtid="{D5CDD505-2E9C-101B-9397-08002B2CF9AE}" pid="46" name="lot">
    <vt:lpwstr>True</vt:lpwstr>
  </property>
  <property fmtid="{D5CDD505-2E9C-101B-9397-08002B2CF9AE}" pid="47" name="lotTitle">
    <vt:lpwstr>Список таблиц</vt:lpwstr>
  </property>
  <property fmtid="{D5CDD505-2E9C-101B-9397-08002B2CF9AE}" pid="48" name="lstLabels">
    <vt:lpwstr>arabic</vt:lpwstr>
  </property>
  <property fmtid="{D5CDD505-2E9C-101B-9397-08002B2CF9AE}" pid="49" name="lstPrefix">
    <vt:lpwstr/>
  </property>
  <property fmtid="{D5CDD505-2E9C-101B-9397-08002B2CF9AE}" pid="50" name="lstPrefixTemplate">
    <vt:lpwstr>p i</vt:lpwstr>
  </property>
  <property fmtid="{D5CDD505-2E9C-101B-9397-08002B2CF9AE}" pid="51" name="mainfont">
    <vt:lpwstr>PT Serif</vt:lpwstr>
  </property>
  <property fmtid="{D5CDD505-2E9C-101B-9397-08002B2CF9AE}" pid="52" name="mainfontoptions">
    <vt:lpwstr>Ligatures=TeX</vt:lpwstr>
  </property>
  <property fmtid="{D5CDD505-2E9C-101B-9397-08002B2CF9AE}" pid="53" name="monofont">
    <vt:lpwstr>PT Mono</vt:lpwstr>
  </property>
  <property fmtid="{D5CDD505-2E9C-101B-9397-08002B2CF9AE}" pid="54" name="monofontoptions">
    <vt:lpwstr>Scale=MatchLowercase,Scale=0.9</vt:lpwstr>
  </property>
  <property fmtid="{D5CDD505-2E9C-101B-9397-08002B2CF9AE}" pid="55" name="nameInLink">
    <vt:lpwstr>False</vt:lpwstr>
  </property>
  <property fmtid="{D5CDD505-2E9C-101B-9397-08002B2CF9AE}" pid="56" name="numberSections">
    <vt:lpwstr>False</vt:lpwstr>
  </property>
  <property fmtid="{D5CDD505-2E9C-101B-9397-08002B2CF9AE}" pid="57" name="pairDelim">
    <vt:lpwstr>, </vt:lpwstr>
  </property>
  <property fmtid="{D5CDD505-2E9C-101B-9397-08002B2CF9AE}" pid="58" name="papersize">
    <vt:lpwstr>a4</vt:lpwstr>
  </property>
  <property fmtid="{D5CDD505-2E9C-101B-9397-08002B2CF9AE}" pid="59" name="polyglossia-lang">
    <vt:lpwstr/>
  </property>
  <property fmtid="{D5CDD505-2E9C-101B-9397-08002B2CF9AE}" pid="60" name="polyglossia-otherlangs">
    <vt:lpwstr/>
  </property>
  <property fmtid="{D5CDD505-2E9C-101B-9397-08002B2CF9AE}" pid="61" name="rangeDelim">
    <vt:lpwstr>-</vt:lpwstr>
  </property>
  <property fmtid="{D5CDD505-2E9C-101B-9397-08002B2CF9AE}" pid="62" name="refDelim">
    <vt:lpwstr>, </vt:lpwstr>
  </property>
  <property fmtid="{D5CDD505-2E9C-101B-9397-08002B2CF9AE}" pid="63" name="refIndexTemplate">
    <vt:lpwstr>isuf</vt:lpwstr>
  </property>
  <property fmtid="{D5CDD505-2E9C-101B-9397-08002B2CF9AE}" pid="64" name="romanfont">
    <vt:lpwstr>PT Serif</vt:lpwstr>
  </property>
  <property fmtid="{D5CDD505-2E9C-101B-9397-08002B2CF9AE}" pid="65" name="romanfontoptions">
    <vt:lpwstr>Ligatures=TeX</vt:lpwstr>
  </property>
  <property fmtid="{D5CDD505-2E9C-101B-9397-08002B2CF9AE}" pid="66" name="sansfont">
    <vt:lpwstr>PT Sans</vt:lpwstr>
  </property>
  <property fmtid="{D5CDD505-2E9C-101B-9397-08002B2CF9AE}" pid="67" name="sansfontoptions">
    <vt:lpwstr>Ligatures=TeX,Scale=MatchLowercase</vt:lpwstr>
  </property>
  <property fmtid="{D5CDD505-2E9C-101B-9397-08002B2CF9AE}" pid="68" name="secHeaderDelim">
    <vt:lpwstr> </vt:lpwstr>
  </property>
  <property fmtid="{D5CDD505-2E9C-101B-9397-08002B2CF9AE}" pid="69" name="secHeaderTemplate">
    <vt:lpwstr>isecHeaderDelim[n]t</vt:lpwstr>
  </property>
  <property fmtid="{D5CDD505-2E9C-101B-9397-08002B2CF9AE}" pid="70" name="secLabels">
    <vt:lpwstr>arabic</vt:lpwstr>
  </property>
  <property fmtid="{D5CDD505-2E9C-101B-9397-08002B2CF9AE}" pid="71" name="secPrefix">
    <vt:lpwstr/>
  </property>
  <property fmtid="{D5CDD505-2E9C-101B-9397-08002B2CF9AE}" pid="72" name="secPrefixTemplate">
    <vt:lpwstr>p i</vt:lpwstr>
  </property>
  <property fmtid="{D5CDD505-2E9C-101B-9397-08002B2CF9AE}" pid="73" name="sectionsDepth">
    <vt:lpwstr>0</vt:lpwstr>
  </property>
  <property fmtid="{D5CDD505-2E9C-101B-9397-08002B2CF9AE}" pid="74" name="subfigGrid">
    <vt:lpwstr>False</vt:lpwstr>
  </property>
  <property fmtid="{D5CDD505-2E9C-101B-9397-08002B2CF9AE}" pid="75" name="subfigLabels">
    <vt:lpwstr>alpha a</vt:lpwstr>
  </property>
  <property fmtid="{D5CDD505-2E9C-101B-9397-08002B2CF9AE}" pid="76" name="subfigureChildTemplate">
    <vt:lpwstr>i</vt:lpwstr>
  </property>
  <property fmtid="{D5CDD505-2E9C-101B-9397-08002B2CF9AE}" pid="77" name="subfigureRefIndexTemplate">
    <vt:lpwstr>isuf (s)</vt:lpwstr>
  </property>
  <property fmtid="{D5CDD505-2E9C-101B-9397-08002B2CF9AE}" pid="78" name="subfigureTemplate">
    <vt:lpwstr>figureTitle ititleDelim t. ccs</vt:lpwstr>
  </property>
  <property fmtid="{D5CDD505-2E9C-101B-9397-08002B2CF9AE}" pid="79" name="subtitle">
    <vt:lpwstr>Работа с файлами средствами Nasm</vt:lpwstr>
  </property>
  <property fmtid="{D5CDD505-2E9C-101B-9397-08002B2CF9AE}" pid="80" name="tableEqns">
    <vt:lpwstr>False</vt:lpwstr>
  </property>
  <property fmtid="{D5CDD505-2E9C-101B-9397-08002B2CF9AE}" pid="81" name="tableTemplate">
    <vt:lpwstr>tableTitle ititleDelim t</vt:lpwstr>
  </property>
  <property fmtid="{D5CDD505-2E9C-101B-9397-08002B2CF9AE}" pid="82" name="tableTitle">
    <vt:lpwstr>Таблица</vt:lpwstr>
  </property>
  <property fmtid="{D5CDD505-2E9C-101B-9397-08002B2CF9AE}" pid="83" name="tblLabels">
    <vt:lpwstr>arabic</vt:lpwstr>
  </property>
  <property fmtid="{D5CDD505-2E9C-101B-9397-08002B2CF9AE}" pid="84" name="tblPrefix">
    <vt:lpwstr/>
  </property>
  <property fmtid="{D5CDD505-2E9C-101B-9397-08002B2CF9AE}" pid="85" name="tblPrefixTemplate">
    <vt:lpwstr>p i</vt:lpwstr>
  </property>
  <property fmtid="{D5CDD505-2E9C-101B-9397-08002B2CF9AE}" pid="86" name="titleDelim">
    <vt:lpwstr>:</vt:lpwstr>
  </property>
  <property fmtid="{D5CDD505-2E9C-101B-9397-08002B2CF9AE}" pid="87" name="toc">
    <vt:lpwstr>True</vt:lpwstr>
  </property>
  <property fmtid="{D5CDD505-2E9C-101B-9397-08002B2CF9AE}" pid="88" name="toc-depth">
    <vt:lpwstr>2</vt:lpwstr>
  </property>
  <property fmtid="{D5CDD505-2E9C-101B-9397-08002B2CF9AE}" pid="89" name="toc-title">
    <vt:lpwstr>Содержание</vt:lpwstr>
  </property>
</Properties>
</file>