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НПИбд-02-22</w:t>
      </w:r>
    </w:p>
    <w:p>
      <w:pPr>
        <w:pStyle w:val="Author"/>
      </w:pPr>
      <w:r>
        <w:t xml:space="preserve">Чесноков Артемий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Познакомится с принципами планирования локальной сети организации.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Повторяем схему первого слоя в нашей системе (рис. 1).</w:t>
      </w:r>
    </w:p>
    <w:bookmarkStart w:id="24" w:name="fig:001"/>
    <w:p>
      <w:pPr>
        <w:pStyle w:val="CaptionedFigure"/>
      </w:pPr>
      <w:r>
        <w:drawing>
          <wp:inline>
            <wp:extent cx="3733800" cy="1769844"/>
            <wp:effectExtent b="0" l="0" r="0" t="0"/>
            <wp:docPr descr="Рис. 1: Физические устройства сети с номерами портов Layer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устройства сети с номерами портов Layer 1</w:t>
      </w:r>
    </w:p>
    <w:bookmarkEnd w:id="24"/>
    <w:p>
      <w:pPr>
        <w:pStyle w:val="BodyText"/>
      </w:pPr>
      <w:r>
        <w:t xml:space="preserve">Повторяем схему распределения VLAN (рис. 2).</w:t>
      </w:r>
    </w:p>
    <w:bookmarkStart w:id="28" w:name="fig:002"/>
    <w:p>
      <w:pPr>
        <w:pStyle w:val="CaptionedFigure"/>
      </w:pPr>
      <w:r>
        <w:drawing>
          <wp:inline>
            <wp:extent cx="3733800" cy="1769844"/>
            <wp:effectExtent b="0" l="0" r="0" t="0"/>
            <wp:docPr descr="Рис. 2: Схема VLAN сети Layer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VLAN сети Layer 2</w:t>
      </w:r>
    </w:p>
    <w:bookmarkEnd w:id="28"/>
    <w:p>
      <w:pPr>
        <w:pStyle w:val="BodyText"/>
      </w:pPr>
      <w:r>
        <w:t xml:space="preserve">Повторяем схему маршрутизации (рис. 3).</w:t>
      </w:r>
    </w:p>
    <w:bookmarkStart w:id="32" w:name="fig:003"/>
    <w:p>
      <w:pPr>
        <w:pStyle w:val="CaptionedFigure"/>
      </w:pPr>
      <w:r>
        <w:drawing>
          <wp:inline>
            <wp:extent cx="3733800" cy="2358488"/>
            <wp:effectExtent b="0" l="0" r="0" t="0"/>
            <wp:docPr descr="Рис. 3: Схема маршрутизации сети Layer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маршрутизации сети Layer 3</w:t>
      </w:r>
    </w:p>
    <w:bookmarkEnd w:id="32"/>
    <w:p>
      <w:pPr>
        <w:pStyle w:val="BodyText"/>
      </w:pPr>
      <w:r>
        <w:t xml:space="preserve">Повторяем таблицу VLAN’ов, ознакамливаемся (рис. 4).</w:t>
      </w:r>
    </w:p>
    <w:bookmarkStart w:id="36" w:name="fig:004"/>
    <w:p>
      <w:pPr>
        <w:pStyle w:val="CaptionedFigure"/>
      </w:pPr>
      <w:r>
        <w:drawing>
          <wp:inline>
            <wp:extent cx="3733800" cy="1442202"/>
            <wp:effectExtent b="0" l="0" r="0" t="0"/>
            <wp:docPr descr="Рис. 4: перенесли к себ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перенесли к себе</w:t>
      </w:r>
    </w:p>
    <w:bookmarkEnd w:id="36"/>
    <w:p>
      <w:pPr>
        <w:pStyle w:val="BodyText"/>
      </w:pPr>
      <w:r>
        <w:t xml:space="preserve">Повторяем таблицу IP адресов, ознакамливаемся (рис. 5).</w:t>
      </w:r>
    </w:p>
    <w:bookmarkStart w:id="40" w:name="fig:005"/>
    <w:p>
      <w:pPr>
        <w:pStyle w:val="CaptionedFigure"/>
      </w:pPr>
      <w:r>
        <w:drawing>
          <wp:inline>
            <wp:extent cx="3733800" cy="4166320"/>
            <wp:effectExtent b="0" l="0" r="0" t="0"/>
            <wp:docPr descr="Рис. 5: перенесли к себе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перенесли к себе</w:t>
      </w:r>
    </w:p>
    <w:bookmarkEnd w:id="40"/>
    <w:p>
      <w:pPr>
        <w:pStyle w:val="BodyText"/>
      </w:pPr>
      <w:r>
        <w:t xml:space="preserve">Повторяем таблицу портов, ознакамливаемся (рис. 6).</w:t>
      </w:r>
    </w:p>
    <w:bookmarkStart w:id="44" w:name="fig:006"/>
    <w:p>
      <w:pPr>
        <w:pStyle w:val="CaptionedFigure"/>
      </w:pPr>
      <w:r>
        <w:drawing>
          <wp:inline>
            <wp:extent cx="3733800" cy="4008680"/>
            <wp:effectExtent b="0" l="0" r="0" t="0"/>
            <wp:docPr descr="Рис. 6: перенесли к себе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перенесли к себе</w:t>
      </w:r>
    </w:p>
    <w:bookmarkEnd w:id="44"/>
    <w:p>
      <w:pPr>
        <w:pStyle w:val="BodyText"/>
      </w:pPr>
      <w:r>
        <w:t xml:space="preserve">Делаем схему маршрутизации для 176.16.0.0/12 (рис. 7).</w:t>
      </w:r>
    </w:p>
    <w:bookmarkStart w:id="48" w:name="fig:007"/>
    <w:p>
      <w:pPr>
        <w:pStyle w:val="CaptionedFigure"/>
      </w:pPr>
      <w:r>
        <w:drawing>
          <wp:inline>
            <wp:extent cx="3733800" cy="2267534"/>
            <wp:effectExtent b="0" l="0" r="0" t="0"/>
            <wp:docPr descr="Рис. 7: остальные схемы сходятс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остальные схемы сходятся</w:t>
      </w:r>
    </w:p>
    <w:bookmarkEnd w:id="48"/>
    <w:p>
      <w:pPr>
        <w:pStyle w:val="BodyText"/>
      </w:pPr>
      <w:r>
        <w:t xml:space="preserve">Делаем схему маршрутизации для 192.168.0.0/16 (рис. 8).</w:t>
      </w:r>
    </w:p>
    <w:bookmarkStart w:id="52" w:name="fig:008"/>
    <w:p>
      <w:pPr>
        <w:pStyle w:val="CaptionedFigure"/>
      </w:pPr>
      <w:r>
        <w:drawing>
          <wp:inline>
            <wp:extent cx="3733800" cy="2267534"/>
            <wp:effectExtent b="0" l="0" r="0" t="0"/>
            <wp:docPr descr="Рис. 8: остальные схемы сходятс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остальные схемы сходятся</w:t>
      </w:r>
    </w:p>
    <w:bookmarkEnd w:id="52"/>
    <w:p>
      <w:pPr>
        <w:pStyle w:val="BodyText"/>
      </w:pPr>
      <w:r>
        <w:t xml:space="preserve">Таблицы для IP адресов для 176.16.0.0/12 (рис. 9).</w:t>
      </w:r>
    </w:p>
    <w:bookmarkStart w:id="56" w:name="fig:009"/>
    <w:p>
      <w:pPr>
        <w:pStyle w:val="CaptionedFigure"/>
      </w:pPr>
      <w:r>
        <w:drawing>
          <wp:inline>
            <wp:extent cx="3733800" cy="4110770"/>
            <wp:effectExtent b="0" l="0" r="0" t="0"/>
            <wp:docPr descr="Рис. 9: остальные таблицы сходятс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остальные таблицы сходятся</w:t>
      </w:r>
    </w:p>
    <w:bookmarkEnd w:id="56"/>
    <w:p>
      <w:pPr>
        <w:pStyle w:val="BodyText"/>
      </w:pPr>
      <w:r>
        <w:t xml:space="preserve">Таблицы для IP адресов для 192.168.0.0/16 (рис. 10).</w:t>
      </w:r>
    </w:p>
    <w:bookmarkStart w:id="60" w:name="fig:010"/>
    <w:p>
      <w:pPr>
        <w:pStyle w:val="CaptionedFigure"/>
      </w:pPr>
      <w:r>
        <w:drawing>
          <wp:inline>
            <wp:extent cx="3733800" cy="3646226"/>
            <wp:effectExtent b="0" l="0" r="0" t="0"/>
            <wp:docPr descr="Рис. 10: остальные таблицы сходятс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остальные таблицы сходятся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основные навыки по начальному конфигурированию оборудования</w:t>
      </w:r>
      <w:r>
        <w:t xml:space="preserve"> </w:t>
      </w:r>
      <w:r>
        <w:t xml:space="preserve">Cisco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bookmarkEnd w:id="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Чесноков Артемий Павлович</dc:creator>
  <dc:language>ru-RU</dc:language>
  <cp:keywords/>
  <dcterms:created xsi:type="dcterms:W3CDTF">2025-04-05T16:03:47Z</dcterms:created>
  <dcterms:modified xsi:type="dcterms:W3CDTF">2025-04-05T16:03:47Z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НПИбд-02-22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