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№5</w:t>
      </w:r>
    </w:p>
    <w:p>
      <w:pPr>
        <w:pStyle w:val="Subtitle"/>
      </w:pPr>
      <w:r>
        <w:t xml:space="preserve">НПИбд-02-22</w:t>
      </w:r>
    </w:p>
    <w:p>
      <w:pPr>
        <w:pStyle w:val="Author"/>
      </w:pPr>
      <w:r>
        <w:t xml:space="preserve">Чесноков Артемий Павлович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основные навыки по настройке VLAN на коммутаторах сети.</w:t>
      </w:r>
    </w:p>
    <w:bookmarkEnd w:id="20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Настраиваем trunk порты (рис. 1).</w:t>
      </w:r>
    </w:p>
    <w:bookmarkStart w:id="24" w:name="fig:001"/>
    <w:p>
      <w:pPr>
        <w:pStyle w:val="CaptionedFigure"/>
      </w:pPr>
      <w:r>
        <w:drawing>
          <wp:inline>
            <wp:extent cx="3733800" cy="1734243"/>
            <wp:effectExtent b="0" l="0" r="0" t="0"/>
            <wp:docPr descr="Рис. 1: пример для первого маршрутизатора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4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пример для первого маршрутизатора</w:t>
      </w:r>
    </w:p>
    <w:bookmarkEnd w:id="24"/>
    <w:p>
      <w:pPr>
        <w:pStyle w:val="BodyText"/>
      </w:pPr>
      <w:r>
        <w:t xml:space="preserve">Настраиваем маршрутизатор-сервер (рис. 2).</w:t>
      </w:r>
    </w:p>
    <w:bookmarkStart w:id="28" w:name="fig:002"/>
    <w:p>
      <w:pPr>
        <w:pStyle w:val="CaptionedFigure"/>
      </w:pPr>
      <w:r>
        <w:drawing>
          <wp:inline>
            <wp:extent cx="3733800" cy="3060810"/>
            <wp:effectExtent b="0" l="0" r="0" t="0"/>
            <wp:docPr descr="Рис. 2: первый донской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0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первый донской</w:t>
      </w:r>
    </w:p>
    <w:bookmarkEnd w:id="28"/>
    <w:p>
      <w:pPr>
        <w:pStyle w:val="BodyText"/>
      </w:pPr>
      <w:r>
        <w:t xml:space="preserve">Показываем результат списком (рис. 3).</w:t>
      </w:r>
    </w:p>
    <w:bookmarkStart w:id="32" w:name="fig:003"/>
    <w:p>
      <w:pPr>
        <w:pStyle w:val="CaptionedFigure"/>
      </w:pPr>
      <w:r>
        <w:drawing>
          <wp:inline>
            <wp:extent cx="3733800" cy="3060810"/>
            <wp:effectExtent b="0" l="0" r="0" t="0"/>
            <wp:docPr descr="Рис. 3: Show vlan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0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Show vlan</w:t>
      </w:r>
    </w:p>
    <w:bookmarkEnd w:id="32"/>
    <w:p>
      <w:pPr>
        <w:pStyle w:val="BodyText"/>
      </w:pPr>
      <w:r>
        <w:t xml:space="preserve">Закрепляем остальные маршрутизаторы как клиенты (рис. 4).</w:t>
      </w:r>
    </w:p>
    <w:bookmarkStart w:id="36" w:name="fig:004"/>
    <w:p>
      <w:pPr>
        <w:pStyle w:val="CaptionedFigure"/>
      </w:pPr>
      <w:r>
        <w:drawing>
          <wp:inline>
            <wp:extent cx="3733800" cy="1133779"/>
            <wp:effectExtent b="0" l="0" r="0" t="0"/>
            <wp:docPr descr="Рис. 4: пример для второго маршрутизатора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3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пример для второго маршрутизатора</w:t>
      </w:r>
    </w:p>
    <w:bookmarkEnd w:id="36"/>
    <w:p>
      <w:pPr>
        <w:pStyle w:val="BodyText"/>
      </w:pPr>
      <w:r>
        <w:t xml:space="preserve">Список для четвертого маршрутизатора (рис. 5).</w:t>
      </w:r>
    </w:p>
    <w:bookmarkStart w:id="40" w:name="fig:005"/>
    <w:p>
      <w:pPr>
        <w:pStyle w:val="CaptionedFigure"/>
      </w:pPr>
      <w:r>
        <w:drawing>
          <wp:inline>
            <wp:extent cx="3733800" cy="2105590"/>
            <wp:effectExtent b="0" l="0" r="0" t="0"/>
            <wp:docPr descr="Рис. 5: show vlan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5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show vlan</w:t>
      </w:r>
    </w:p>
    <w:bookmarkEnd w:id="40"/>
    <w:p>
      <w:pPr>
        <w:pStyle w:val="BodyText"/>
      </w:pPr>
      <w:r>
        <w:t xml:space="preserve">Прописываем диапазоны (рис. 6).</w:t>
      </w:r>
    </w:p>
    <w:bookmarkStart w:id="44" w:name="fig:006"/>
    <w:p>
      <w:pPr>
        <w:pStyle w:val="CaptionedFigure"/>
      </w:pPr>
      <w:r>
        <w:drawing>
          <wp:inline>
            <wp:extent cx="3733800" cy="2582971"/>
            <wp:effectExtent b="0" l="0" r="0" t="0"/>
            <wp:docPr descr="Рис. 6: пример для четвертого маршрутизатора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2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пример для четвертого маршрутизатора</w:t>
      </w:r>
    </w:p>
    <w:bookmarkEnd w:id="44"/>
    <w:p>
      <w:pPr>
        <w:pStyle w:val="BodyText"/>
      </w:pPr>
      <w:r>
        <w:t xml:space="preserve">Проставляем статические IP адреса на конечные устройства (рис. 7).</w:t>
      </w:r>
    </w:p>
    <w:bookmarkStart w:id="48" w:name="fig:007"/>
    <w:p>
      <w:pPr>
        <w:pStyle w:val="CaptionedFigure"/>
      </w:pPr>
      <w:r>
        <w:drawing>
          <wp:inline>
            <wp:extent cx="3733800" cy="2466151"/>
            <wp:effectExtent b="0" l="0" r="0" t="0"/>
            <wp:docPr descr="Рис. 7: пример для web сервера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6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пример для web сервера</w:t>
      </w:r>
    </w:p>
    <w:bookmarkEnd w:id="48"/>
    <w:p>
      <w:pPr>
        <w:pStyle w:val="BodyText"/>
      </w:pPr>
      <w:r>
        <w:t xml:space="preserve">Открываем командную строку на донском и пингуем павловскую (рис. 8).</w:t>
      </w:r>
    </w:p>
    <w:bookmarkStart w:id="52" w:name="fig:008"/>
    <w:p>
      <w:pPr>
        <w:pStyle w:val="CaptionedFigure"/>
      </w:pPr>
      <w:r>
        <w:drawing>
          <wp:inline>
            <wp:extent cx="3733800" cy="3977078"/>
            <wp:effectExtent b="0" l="0" r="0" t="0"/>
            <wp:docPr descr="Рис. 8: ipconfig;ping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7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ipconfig;ping</w:t>
      </w:r>
    </w:p>
    <w:bookmarkEnd w:id="52"/>
    <w:p>
      <w:pPr>
        <w:pStyle w:val="BodyText"/>
      </w:pPr>
      <w:r>
        <w:t xml:space="preserve">Включаем симуляцию и отслеживаем ICMP протокол (рис. 9).</w:t>
      </w:r>
    </w:p>
    <w:bookmarkStart w:id="56" w:name="fig:009"/>
    <w:p>
      <w:pPr>
        <w:pStyle w:val="CaptionedFigure"/>
      </w:pPr>
      <w:r>
        <w:drawing>
          <wp:inline>
            <wp:extent cx="3733800" cy="3977078"/>
            <wp:effectExtent b="0" l="0" r="0" t="0"/>
            <wp:docPr descr="Рис. 9: ICMP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7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ICMP</w:t>
      </w:r>
    </w:p>
    <w:bookmarkEnd w:id="56"/>
    <w:p>
      <w:pPr>
        <w:pStyle w:val="BodyText"/>
      </w:pPr>
      <w:r>
        <w:t xml:space="preserve">Отправляем (рис. 10).</w:t>
      </w:r>
    </w:p>
    <w:bookmarkStart w:id="60" w:name="fig:010"/>
    <w:p>
      <w:pPr>
        <w:pStyle w:val="CaptionedFigure"/>
      </w:pPr>
      <w:r>
        <w:drawing>
          <wp:inline>
            <wp:extent cx="1943899" cy="1636967"/>
            <wp:effectExtent b="0" l="0" r="0" t="0"/>
            <wp:docPr descr="Рис. 10: от dk-donskaya-1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899" cy="1636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от dk-donskaya-1</w:t>
      </w:r>
    </w:p>
    <w:bookmarkEnd w:id="60"/>
    <w:p>
      <w:pPr>
        <w:pStyle w:val="BodyText"/>
      </w:pPr>
      <w:r>
        <w:t xml:space="preserve">Получаем (рис. 11).</w:t>
      </w:r>
    </w:p>
    <w:bookmarkStart w:id="64" w:name="fig:011"/>
    <w:p>
      <w:pPr>
        <w:pStyle w:val="CaptionedFigure"/>
      </w:pPr>
      <w:r>
        <w:drawing>
          <wp:inline>
            <wp:extent cx="1943899" cy="1636967"/>
            <wp:effectExtent b="0" l="0" r="0" t="0"/>
            <wp:docPr descr="Рис. 11: dk-pavlovskaya-1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899" cy="1636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dk-pavlovskaya-1</w:t>
      </w:r>
    </w:p>
    <w:bookmarkEnd w:id="64"/>
    <w:p>
      <w:pPr>
        <w:pStyle w:val="BodyText"/>
      </w:pPr>
      <w:r>
        <w:t xml:space="preserve">Наблюдаем передоваемую информацию (рис. 12).</w:t>
      </w:r>
    </w:p>
    <w:bookmarkStart w:id="68" w:name="fig:012"/>
    <w:p>
      <w:pPr>
        <w:pStyle w:val="CaptionedFigure"/>
      </w:pPr>
      <w:r>
        <w:drawing>
          <wp:inline>
            <wp:extent cx="3733800" cy="1487026"/>
            <wp:effectExtent b="0" l="0" r="0" t="0"/>
            <wp:docPr descr="Рис. 12: ур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7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ура</w:t>
      </w:r>
    </w:p>
    <w:bookmarkEnd w:id="68"/>
    <w:bookmarkEnd w:id="69"/>
    <w:bookmarkStart w:id="7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Получили основные навыки по настройке VLAN на коммутаторах сети.</w:t>
      </w:r>
    </w:p>
    <w:bookmarkEnd w:id="70"/>
    <w:bookmarkStart w:id="72" w:name="список-литературы"/>
    <w:p>
      <w:pPr>
        <w:pStyle w:val="Heading1"/>
      </w:pPr>
      <w:r>
        <w:t xml:space="preserve">Список литературы</w:t>
      </w:r>
    </w:p>
    <w:bookmarkStart w:id="71" w:name="refs"/>
    <w:bookmarkEnd w:id="71"/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Чесноков Артемий Павлович</dc:creator>
  <dc:language>ru-RU</dc:language>
  <cp:keywords/>
  <dcterms:created xsi:type="dcterms:W3CDTF">2025-03-15T20:23:27Z</dcterms:created>
  <dcterms:modified xsi:type="dcterms:W3CDTF">2025-03-15T20:23:27Z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НПИбд-02-22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