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НПИбд-02-22</w:t>
      </w:r>
    </w:p>
    <w:p>
      <w:pPr>
        <w:pStyle w:val="Author"/>
      </w:pPr>
      <w:r>
        <w:t xml:space="preserve">Чесноков Артемий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</w:t>
      </w:r>
      <w:r>
        <w:t xml:space="preserve"> </w:t>
      </w:r>
      <w:r>
        <w:t xml:space="preserve">а также учесть физические параметры сети.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Даем название городу(рис. 1).</w:t>
      </w:r>
    </w:p>
    <w:bookmarkStart w:id="24" w:name="fig:001"/>
    <w:p>
      <w:pPr>
        <w:pStyle w:val="CaptionedFigure"/>
      </w:pPr>
      <w:r>
        <w:drawing>
          <wp:inline>
            <wp:extent cx="3733800" cy="2466488"/>
            <wp:effectExtent b="0" l="0" r="0" t="0"/>
            <wp:docPr descr="Рис. 1: Moscow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Moscow</w:t>
      </w:r>
    </w:p>
    <w:bookmarkEnd w:id="24"/>
    <w:p>
      <w:pPr>
        <w:pStyle w:val="BodyText"/>
      </w:pPr>
      <w:r>
        <w:t xml:space="preserve">Добавляем здания (рис. 2).</w:t>
      </w:r>
    </w:p>
    <w:bookmarkStart w:id="28" w:name="fig:002"/>
    <w:p>
      <w:pPr>
        <w:pStyle w:val="CaptionedFigure"/>
      </w:pPr>
      <w:r>
        <w:drawing>
          <wp:inline>
            <wp:extent cx="3733800" cy="1283722"/>
            <wp:effectExtent b="0" l="0" r="0" t="0"/>
            <wp:docPr descr="Рис. 2: Donskaya + pavlovskaya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Donskaya + pavlovskaya</w:t>
      </w:r>
    </w:p>
    <w:bookmarkEnd w:id="28"/>
    <w:p>
      <w:pPr>
        <w:pStyle w:val="BodyText"/>
      </w:pPr>
      <w:r>
        <w:t xml:space="preserve">Перемещаем в физ.отображении коммутаторы и др. устройства (рис. 3).</w:t>
      </w:r>
    </w:p>
    <w:bookmarkStart w:id="32" w:name="fig:003"/>
    <w:p>
      <w:pPr>
        <w:pStyle w:val="CaptionedFigure"/>
      </w:pPr>
      <w:r>
        <w:drawing>
          <wp:inline>
            <wp:extent cx="3733800" cy="2103852"/>
            <wp:effectExtent b="0" l="0" r="0" t="0"/>
            <wp:docPr descr="Рис. 3: pavlovskaya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pavlovskaya</w:t>
      </w:r>
    </w:p>
    <w:bookmarkEnd w:id="32"/>
    <w:p>
      <w:pPr>
        <w:pStyle w:val="BodyText"/>
      </w:pPr>
      <w:r>
        <w:t xml:space="preserve">Проверяем работоспособность соединения(рис. 4).</w:t>
      </w:r>
    </w:p>
    <w:bookmarkStart w:id="36" w:name="fig:004"/>
    <w:p>
      <w:pPr>
        <w:pStyle w:val="CaptionedFigure"/>
      </w:pPr>
      <w:r>
        <w:drawing>
          <wp:inline>
            <wp:extent cx="3733800" cy="2103852"/>
            <wp:effectExtent b="0" l="0" r="0" t="0"/>
            <wp:docPr descr="Рис. 4: ping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ping</w:t>
      </w:r>
    </w:p>
    <w:bookmarkEnd w:id="36"/>
    <w:p>
      <w:pPr>
        <w:pStyle w:val="BodyText"/>
      </w:pPr>
      <w:r>
        <w:t xml:space="preserve">Включаем влияение длины кабеля на нашу сеть(рис. 5).</w:t>
      </w:r>
    </w:p>
    <w:bookmarkStart w:id="40" w:name="fig:005"/>
    <w:p>
      <w:pPr>
        <w:pStyle w:val="CaptionedFigure"/>
      </w:pPr>
      <w:r>
        <w:drawing>
          <wp:inline>
            <wp:extent cx="3733800" cy="2103852"/>
            <wp:effectExtent b="0" l="0" r="0" t="0"/>
            <wp:docPr descr="Рис. 5: Enable Cable Length Effects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Enable Cable Length Effects</w:t>
      </w:r>
    </w:p>
    <w:bookmarkEnd w:id="40"/>
    <w:p>
      <w:pPr>
        <w:pStyle w:val="BodyText"/>
      </w:pPr>
      <w:r>
        <w:t xml:space="preserve">Физически размещаем здания на расстояние &gt; 1000м (рис. 6).</w:t>
      </w:r>
    </w:p>
    <w:bookmarkStart w:id="44" w:name="fig:006"/>
    <w:p>
      <w:pPr>
        <w:pStyle w:val="CaptionedFigure"/>
      </w:pPr>
      <w:r>
        <w:drawing>
          <wp:inline>
            <wp:extent cx="3733800" cy="1384203"/>
            <wp:effectExtent b="0" l="0" r="0" t="0"/>
            <wp:docPr descr="Рис. 6: physic view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physic view</w:t>
      </w:r>
    </w:p>
    <w:bookmarkEnd w:id="44"/>
    <w:p>
      <w:pPr>
        <w:pStyle w:val="BodyText"/>
      </w:pPr>
      <w:r>
        <w:t xml:space="preserve">Убираем витой кабель, ставим повторители (рис. 7).</w:t>
      </w:r>
    </w:p>
    <w:bookmarkStart w:id="48" w:name="fig:007"/>
    <w:p>
      <w:pPr>
        <w:pStyle w:val="CaptionedFigure"/>
      </w:pPr>
      <w:r>
        <w:drawing>
          <wp:inline>
            <wp:extent cx="3733800" cy="2038229"/>
            <wp:effectExtent b="0" l="0" r="0" t="0"/>
            <wp:docPr descr="Рис. 7: Repeater-PT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Repeater-PT</w:t>
      </w:r>
    </w:p>
    <w:bookmarkEnd w:id="48"/>
    <w:p>
      <w:pPr>
        <w:pStyle w:val="BodyText"/>
      </w:pPr>
      <w:r>
        <w:t xml:space="preserve">Заменяем модули (рис. 8).</w:t>
      </w:r>
    </w:p>
    <w:bookmarkStart w:id="52" w:name="fig:008"/>
    <w:p>
      <w:pPr>
        <w:pStyle w:val="CaptionedFigure"/>
      </w:pPr>
      <w:r>
        <w:drawing>
          <wp:inline>
            <wp:extent cx="3733800" cy="2038229"/>
            <wp:effectExtent b="0" l="0" r="0" t="0"/>
            <wp:docPr descr="Рис. 8: на PT-REPEATERNM-1FFE и PT-REPEATER-NM-1CFE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 PT-REPEATERNM-1FFE и PT-REPEATER-NM-1CFE</w:t>
      </w:r>
    </w:p>
    <w:bookmarkEnd w:id="52"/>
    <w:p>
      <w:pPr>
        <w:pStyle w:val="BodyText"/>
      </w:pPr>
      <w:r>
        <w:t xml:space="preserve">Переносим на павловскую её повторитель (рис. 9).</w:t>
      </w:r>
    </w:p>
    <w:bookmarkStart w:id="56" w:name="fig:009"/>
    <w:p>
      <w:pPr>
        <w:pStyle w:val="CaptionedFigure"/>
      </w:pPr>
      <w:r>
        <w:drawing>
          <wp:inline>
            <wp:extent cx="3733800" cy="1789112"/>
            <wp:effectExtent b="0" l="0" r="0" t="0"/>
            <wp:docPr descr="Рис. 9: msk-pavlovskaya-mc-1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msk-pavlovskaya-mc-1</w:t>
      </w:r>
    </w:p>
    <w:bookmarkEnd w:id="56"/>
    <w:p>
      <w:pPr>
        <w:pStyle w:val="BodyText"/>
      </w:pPr>
      <w:r>
        <w:t xml:space="preserve">Соединяем (рис. 10).</w:t>
      </w:r>
    </w:p>
    <w:bookmarkStart w:id="60" w:name="fig:010"/>
    <w:p>
      <w:pPr>
        <w:pStyle w:val="CaptionedFigure"/>
      </w:pPr>
      <w:r>
        <w:drawing>
          <wp:inline>
            <wp:extent cx="3733800" cy="1789112"/>
            <wp:effectExtent b="0" l="0" r="0" t="0"/>
            <wp:docPr descr="Рис. 10: повторители соединяем через fiber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повторители соединяем через fiber</w:t>
      </w:r>
    </w:p>
    <w:bookmarkEnd w:id="60"/>
    <w:p>
      <w:pPr>
        <w:pStyle w:val="BodyText"/>
      </w:pPr>
      <w:r>
        <w:t xml:space="preserve">Проверяем работоспособность соединения(рис. 11).</w:t>
      </w:r>
    </w:p>
    <w:bookmarkStart w:id="64" w:name="fig:011"/>
    <w:p>
      <w:pPr>
        <w:pStyle w:val="CaptionedFigure"/>
      </w:pPr>
      <w:r>
        <w:drawing>
          <wp:inline>
            <wp:extent cx="3733800" cy="2263090"/>
            <wp:effectExtent b="0" l="0" r="0" t="0"/>
            <wp:docPr descr="Рис. 11: видно что запрос проходит!!!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видно что запрос проходит!!!</w:t>
      </w:r>
    </w:p>
    <w:bookmarkEnd w:id="64"/>
    <w:bookmarkEnd w:id="65"/>
    <w:bookmarkStart w:id="6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навыки работы с физической рабочей областью Packet Tracer,</w:t>
      </w:r>
      <w:r>
        <w:t xml:space="preserve"> </w:t>
      </w:r>
      <w:r>
        <w:t xml:space="preserve">а также научились учитывать физические параметры сети.</w:t>
      </w:r>
      <w:r>
        <w:t xml:space="preserve"> </w:t>
      </w:r>
      <w:r>
        <w:t xml:space="preserve"># Список литературы{.unnumbered}</w:t>
      </w:r>
    </w:p>
    <w:bookmarkStart w:id="66" w:name="refs"/>
    <w:bookmarkEnd w:id="66"/>
    <w:bookmarkEnd w:id="6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Чесноков Артемий Павлович</dc:creator>
  <dc:language>ru-RU</dc:language>
  <cp:keywords/>
  <dcterms:created xsi:type="dcterms:W3CDTF">2025-03-29T20:00:55Z</dcterms:created>
  <dcterms:modified xsi:type="dcterms:W3CDTF">2025-03-29T20:00:55Z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НПИбд-02-22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