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A5F"/>
          <w:sz w:val="44"/>
          <w:szCs w:val="44"/>
        </w:rPr>
        <w:t xml:space="preserve">EXECUTIVE OVERSIGHT COMMITTEE (EOC)</w:t>
      </w:r>
    </w:p>
    <w:p>
      <w:pPr>
        <w:spacing w:after="120" w:before="0"/>
        <w:jc w:val="center"/>
      </w:pPr>
      <w:r>
        <w:rPr>
          <w:rFonts w:ascii="Calibri" w:cs="Calibri" w:eastAsia="Calibri" w:hAnsi="Calibri"/>
          <w:b/>
          <w:bCs/>
          <w:color w:val="1F3A5F"/>
          <w:sz w:val="44"/>
          <w:szCs w:val="44"/>
        </w:rPr>
        <w:t xml:space="preserve">MEETING MINUTES</w:t>
      </w:r>
    </w:p>
    <w:p>
      <w:pPr>
        <w:spacing w:after="240" w:before="0"/>
        <w:jc w:val="center"/>
      </w:pPr>
      <w:r>
        <w:rPr>
          <w:rFonts w:ascii="Calibri" w:cs="Calibri" w:eastAsia="Calibri" w:hAnsi="Calibri"/>
          <w:i/>
          <w:iCs/>
          <w:color w:val="404040"/>
          <w:sz w:val="22"/>
          <w:szCs w:val="22"/>
        </w:rPr>
        <w:t xml:space="preserve">Icahn School of Medicine at Mount Sinai  |  February 21,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Committee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Executive Oversight Committee (EOC)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Meeting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Regular Scheduled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February 21, 2025 (Friday)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Approximately 12:00 p.m. – 12:48 p.m. ET (concluded approximately 12 minutes early)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Modality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(virtual)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Presiding Officer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Robert Fallar — Acting Chair (in the absence of the Chair, Dr. Michelle Francis); Associate Dean for Assessment and Evaluation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 Secretary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Fatima Shafiq, Project Manager, Curricular Affairs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The Acting Chair confirmed on the record that the committee had reached sufficient attendance to proceed ("I think we have hit critical mass here"). A numeric quorum count was not recorded; this meeting predates the formal quorum-attestation practice adopted under EEC Bylaws Version 1.0 (effective July 2025). See Section 2 for detail.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transcript on file; reference source for these minutes</w:t>
            </w:r>
          </w:p>
        </w:tc>
      </w:tr>
    </w:tbl>
    <w:p>
      <w:pPr>
        <w:spacing w:after="120" w:before="0" w:line="276"/>
      </w:pPr>
    </w:p>
    <w:p>
      <w:pPr>
        <w:pStyle w:val="Heading1"/>
        <w:pBdr>
          <w:bottom w:val="single" w:color="1F3A5F" w:sz="8" w:space="4"/>
        </w:pBdr>
        <w:spacing w:after="160" w:before="320"/>
      </w:pPr>
      <w:r>
        <w:rPr>
          <w:rFonts w:ascii="Calibri" w:cs="Calibri" w:eastAsia="Calibri" w:hAnsi="Calibri"/>
          <w:b/>
          <w:bCs/>
          <w:color w:val="1F3A5F"/>
          <w:sz w:val="28"/>
          <w:szCs w:val="28"/>
        </w:rPr>
        <w:t xml:space="preserve">1. Attendance</w:t>
      </w:r>
    </w:p>
    <w:p>
      <w:pPr>
        <w:spacing w:after="120" w:before="0" w:line="276"/>
      </w:pPr>
      <w:r>
        <w:rPr>
          <w:rFonts w:ascii="Calibri" w:cs="Calibri" w:eastAsia="Calibri" w:hAnsi="Calibri"/>
          <w:color w:val="404040"/>
          <w:sz w:val="22"/>
          <w:szCs w:val="22"/>
        </w:rPr>
        <w:t xml:space="preserve">Attendance is reported in alignment with LCME Element 8.1 (Curricular Management) documentation expectations. </w:t>
      </w:r>
    </w:p>
    <w:p>
      <w:pPr>
        <w:pStyle w:val="Heading2"/>
        <w:spacing w:after="120" w:before="240"/>
      </w:pPr>
      <w:r>
        <w:rPr>
          <w:rFonts w:ascii="Calibri" w:cs="Calibri" w:eastAsia="Calibri" w:hAnsi="Calibri"/>
          <w:b/>
          <w:bCs/>
          <w:color w:val="2E5984"/>
          <w:sz w:val="26"/>
          <w:szCs w:val="26"/>
        </w:rPr>
        <w:t xml:space="preserve">Voting Members Present (8)</w:t>
      </w:r>
    </w:p>
    <w:p>
      <w:pPr>
        <w:pStyle w:val="ListParagraph"/>
        <w:numPr>
          <w:ilvl w:val="0"/>
          <w:numId w:val="2"/>
        </w:numPr>
        <w:spacing w:after="40" w:before="0" w:line="276"/>
      </w:pPr>
      <w:r>
        <w:rPr>
          <w:rFonts w:ascii="Calibri" w:cs="Calibri" w:eastAsia="Calibri" w:hAnsi="Calibri"/>
          <w:color w:val="404040"/>
          <w:sz w:val="22"/>
          <w:szCs w:val="22"/>
        </w:rPr>
        <w:t xml:space="preserve">Robert Fallar, PhD — Chair, Assessment and Evaluation Subcommittee</w:t>
      </w:r>
    </w:p>
    <w:p>
      <w:pPr>
        <w:pStyle w:val="ListParagraph"/>
        <w:numPr>
          <w:ilvl w:val="0"/>
          <w:numId w:val="2"/>
        </w:numPr>
        <w:spacing w:after="40" w:before="0" w:line="276"/>
      </w:pPr>
      <w:r>
        <w:rPr>
          <w:rFonts w:ascii="Calibri" w:cs="Calibri" w:eastAsia="Calibri" w:hAnsi="Calibri"/>
          <w:color w:val="404040"/>
          <w:sz w:val="22"/>
          <w:szCs w:val="22"/>
        </w:rPr>
        <w:t xml:space="preserve">Mary Rojas, PhD — Chair, Medical Student Research Subcommittee</w:t>
      </w:r>
    </w:p>
    <w:p>
      <w:pPr>
        <w:pStyle w:val="ListParagraph"/>
        <w:numPr>
          <w:ilvl w:val="0"/>
          <w:numId w:val="2"/>
        </w:numPr>
        <w:spacing w:after="40" w:before="0" w:line="276"/>
      </w:pPr>
      <w:r>
        <w:rPr>
          <w:rFonts w:ascii="Calibri" w:cs="Calibri" w:eastAsia="Calibri" w:hAnsi="Calibri"/>
          <w:color w:val="404040"/>
          <w:sz w:val="22"/>
          <w:szCs w:val="22"/>
        </w:rPr>
        <w:t xml:space="preserve">Kris Alpi, PhD — Associate Dean for Libraries &amp; Information Sciences</w:t>
      </w:r>
    </w:p>
    <w:p>
      <w:pPr>
        <w:pStyle w:val="ListParagraph"/>
        <w:numPr>
          <w:ilvl w:val="0"/>
          <w:numId w:val="2"/>
        </w:numPr>
        <w:spacing w:after="40" w:before="0" w:line="276"/>
      </w:pPr>
      <w:r>
        <w:rPr>
          <w:rFonts w:ascii="Calibri" w:cs="Calibri" w:eastAsia="Calibri" w:hAnsi="Calibri"/>
          <w:color w:val="404040"/>
          <w:sz w:val="22"/>
          <w:szCs w:val="22"/>
        </w:rPr>
        <w:t xml:space="preserve">Teddy Holzer, MD — Chair, Clinical Curriculum Subcommittee</w:t>
      </w:r>
    </w:p>
    <w:p>
      <w:pPr>
        <w:pStyle w:val="ListParagraph"/>
        <w:numPr>
          <w:ilvl w:val="0"/>
          <w:numId w:val="2"/>
        </w:numPr>
        <w:spacing w:after="40" w:before="0" w:line="276"/>
      </w:pPr>
      <w:r>
        <w:rPr>
          <w:rFonts w:ascii="Calibri" w:cs="Calibri" w:eastAsia="Calibri" w:hAnsi="Calibri"/>
          <w:color w:val="404040"/>
          <w:sz w:val="22"/>
          <w:szCs w:val="22"/>
        </w:rPr>
        <w:t xml:space="preserve">Michael Leitman, MD — Graduate Medical Education representative</w:t>
      </w:r>
    </w:p>
    <w:p>
      <w:pPr>
        <w:pStyle w:val="ListParagraph"/>
        <w:numPr>
          <w:ilvl w:val="0"/>
          <w:numId w:val="2"/>
        </w:numPr>
        <w:spacing w:after="40" w:before="0" w:line="276"/>
      </w:pPr>
      <w:r>
        <w:rPr>
          <w:rFonts w:ascii="Calibri" w:cs="Calibri" w:eastAsia="Calibri" w:hAnsi="Calibri"/>
          <w:color w:val="404040"/>
          <w:sz w:val="22"/>
          <w:szCs w:val="22"/>
        </w:rPr>
        <w:t xml:space="preserve">Masih Babagoli — Student Representative, M4 (Legacy)</w:t>
      </w:r>
    </w:p>
    <w:p>
      <w:pPr>
        <w:pStyle w:val="ListParagraph"/>
        <w:numPr>
          <w:ilvl w:val="0"/>
          <w:numId w:val="2"/>
        </w:numPr>
        <w:spacing w:after="40" w:before="0" w:line="276"/>
      </w:pPr>
      <w:r>
        <w:rPr>
          <w:rFonts w:ascii="Calibri" w:cs="Calibri" w:eastAsia="Calibri" w:hAnsi="Calibri"/>
          <w:color w:val="404040"/>
          <w:sz w:val="22"/>
          <w:szCs w:val="22"/>
        </w:rPr>
        <w:t xml:space="preserve">Matthew O'Connell, PhD — MD/PhD representative</w:t>
      </w:r>
    </w:p>
    <w:p>
      <w:pPr>
        <w:pStyle w:val="ListParagraph"/>
        <w:numPr>
          <w:ilvl w:val="0"/>
          <w:numId w:val="2"/>
        </w:numPr>
        <w:spacing w:after="40" w:before="0" w:line="276"/>
      </w:pPr>
      <w:r>
        <w:rPr>
          <w:rFonts w:ascii="Calibri" w:cs="Calibri" w:eastAsia="Calibri" w:hAnsi="Calibri"/>
          <w:color w:val="404040"/>
          <w:sz w:val="22"/>
          <w:szCs w:val="22"/>
        </w:rPr>
        <w:t xml:space="preserve">Jillian Palmer — Director of Student Success and Progression</w:t>
      </w:r>
    </w:p>
    <w:p>
      <w:pPr>
        <w:pStyle w:val="Heading2"/>
        <w:spacing w:after="120" w:before="240"/>
      </w:pPr>
      <w:r>
        <w:rPr>
          <w:rFonts w:ascii="Calibri" w:cs="Calibri" w:eastAsia="Calibri" w:hAnsi="Calibri"/>
          <w:b/>
          <w:bCs/>
          <w:color w:val="2E5984"/>
          <w:sz w:val="26"/>
          <w:szCs w:val="26"/>
        </w:rPr>
        <w:t xml:space="preserve">Voting Members Absent (22)</w:t>
      </w:r>
    </w:p>
    <w:p>
      <w:pPr>
        <w:pStyle w:val="ListParagraph"/>
        <w:numPr>
          <w:ilvl w:val="0"/>
          <w:numId w:val="2"/>
        </w:numPr>
        <w:spacing w:after="40" w:before="0" w:line="276"/>
      </w:pPr>
      <w:r>
        <w:rPr>
          <w:rFonts w:ascii="Calibri" w:cs="Calibri" w:eastAsia="Calibri" w:hAnsi="Calibri"/>
          <w:color w:val="404040"/>
          <w:sz w:val="22"/>
          <w:szCs w:val="22"/>
        </w:rPr>
        <w:t xml:space="preserve">Michelle Francis, MD — Chair (presiding); Assistant Professor – OB/GYN</w:t>
      </w:r>
    </w:p>
    <w:p>
      <w:pPr>
        <w:pStyle w:val="ListParagraph"/>
        <w:numPr>
          <w:ilvl w:val="0"/>
          <w:numId w:val="2"/>
        </w:numPr>
        <w:spacing w:after="40" w:before="0" w:line="276"/>
      </w:pPr>
      <w:r>
        <w:rPr>
          <w:rFonts w:ascii="Calibri" w:cs="Calibri" w:eastAsia="Calibri" w:hAnsi="Calibri"/>
          <w:color w:val="404040"/>
          <w:sz w:val="22"/>
          <w:szCs w:val="22"/>
        </w:rPr>
        <w:t xml:space="preserve">Ganesh Gunasekaran, MD — Faculty Educator at Large; Section Chief of Hepatobiliary Surgery</w:t>
      </w:r>
    </w:p>
    <w:p>
      <w:pPr>
        <w:pStyle w:val="ListParagraph"/>
        <w:numPr>
          <w:ilvl w:val="0"/>
          <w:numId w:val="2"/>
        </w:numPr>
        <w:spacing w:after="40" w:before="0" w:line="276"/>
      </w:pPr>
      <w:r>
        <w:rPr>
          <w:rFonts w:ascii="Calibri" w:cs="Calibri" w:eastAsia="Calibri" w:hAnsi="Calibri"/>
          <w:color w:val="404040"/>
          <w:sz w:val="22"/>
          <w:szCs w:val="22"/>
        </w:rPr>
        <w:t xml:space="preserve">Eric Kutscher, MD — Faculty Educator at Large; Assistant Professor – General Internal Medicine</w:t>
      </w:r>
    </w:p>
    <w:p>
      <w:pPr>
        <w:pStyle w:val="ListParagraph"/>
        <w:numPr>
          <w:ilvl w:val="0"/>
          <w:numId w:val="2"/>
        </w:numPr>
        <w:spacing w:after="40" w:before="0" w:line="276"/>
      </w:pPr>
      <w:r>
        <w:rPr>
          <w:rFonts w:ascii="Calibri" w:cs="Calibri" w:eastAsia="Calibri" w:hAnsi="Calibri"/>
          <w:color w:val="404040"/>
          <w:sz w:val="22"/>
          <w:szCs w:val="22"/>
        </w:rPr>
        <w:t xml:space="preserve">Arvind Kamthan, MD — Faculty Educator at Large; Associate Professor – Hematology and Medical Oncology</w:t>
      </w:r>
    </w:p>
    <w:p>
      <w:pPr>
        <w:pStyle w:val="ListParagraph"/>
        <w:numPr>
          <w:ilvl w:val="0"/>
          <w:numId w:val="2"/>
        </w:numPr>
        <w:spacing w:after="40" w:before="0" w:line="276"/>
      </w:pPr>
      <w:r>
        <w:rPr>
          <w:rFonts w:ascii="Calibri" w:cs="Calibri" w:eastAsia="Calibri" w:hAnsi="Calibri"/>
          <w:color w:val="404040"/>
          <w:sz w:val="22"/>
          <w:szCs w:val="22"/>
        </w:rPr>
        <w:t xml:space="preserve">Brian Rice,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Jessica Reid-Adam, MD — Faculty Educator at Large; Professor – Medical Education, Pediatric</w:t>
      </w:r>
    </w:p>
    <w:p>
      <w:pPr>
        <w:pStyle w:val="ListParagraph"/>
        <w:numPr>
          <w:ilvl w:val="0"/>
          <w:numId w:val="2"/>
        </w:numPr>
        <w:spacing w:after="40" w:before="0" w:line="276"/>
      </w:pPr>
      <w:r>
        <w:rPr>
          <w:rFonts w:ascii="Calibri" w:cs="Calibri" w:eastAsia="Calibri" w:hAnsi="Calibri"/>
          <w:color w:val="404040"/>
          <w:sz w:val="22"/>
          <w:szCs w:val="22"/>
        </w:rPr>
        <w:t xml:space="preserve">Kyunghyun Lee,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Richard Stern, MD — Faculty Educator at Large; Associate Professor – Radiology, Medical Education</w:t>
      </w:r>
    </w:p>
    <w:p>
      <w:pPr>
        <w:pStyle w:val="ListParagraph"/>
        <w:numPr>
          <w:ilvl w:val="0"/>
          <w:numId w:val="2"/>
        </w:numPr>
        <w:spacing w:after="40" w:before="0" w:line="276"/>
      </w:pPr>
      <w:r>
        <w:rPr>
          <w:rFonts w:ascii="Calibri" w:cs="Calibri" w:eastAsia="Calibri" w:hAnsi="Calibri"/>
          <w:color w:val="404040"/>
          <w:sz w:val="22"/>
          <w:szCs w:val="22"/>
        </w:rPr>
        <w:t xml:space="preserve">Sreekala Raghavan, MD — Faculty Educator at Large; Associate Professor – General Internal Medicine, Medical Education</w:t>
      </w:r>
    </w:p>
    <w:p>
      <w:pPr>
        <w:pStyle w:val="ListParagraph"/>
        <w:numPr>
          <w:ilvl w:val="0"/>
          <w:numId w:val="2"/>
        </w:numPr>
        <w:spacing w:after="40" w:before="0" w:line="276"/>
      </w:pPr>
      <w:r>
        <w:rPr>
          <w:rFonts w:ascii="Calibri" w:cs="Calibri" w:eastAsia="Calibri" w:hAnsi="Calibri"/>
          <w:color w:val="404040"/>
          <w:sz w:val="22"/>
          <w:szCs w:val="22"/>
        </w:rPr>
        <w:t xml:space="preserve">Tonia Kim, MD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Alexandros Polydorides, MD PhD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Eve Merrill,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Cynthia Abraham,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Craig Katz, MD — Career and Professional Development (CaPD) Advisor</w:t>
      </w:r>
    </w:p>
    <w:p>
      <w:pPr>
        <w:pStyle w:val="ListParagraph"/>
        <w:numPr>
          <w:ilvl w:val="0"/>
          <w:numId w:val="2"/>
        </w:numPr>
        <w:spacing w:after="40" w:before="0" w:line="276"/>
      </w:pPr>
      <w:r>
        <w:rPr>
          <w:rFonts w:ascii="Calibri" w:cs="Calibri" w:eastAsia="Calibri" w:hAnsi="Calibri"/>
          <w:color w:val="404040"/>
          <w:sz w:val="22"/>
          <w:szCs w:val="22"/>
        </w:rPr>
        <w:t xml:space="preserve">Vannita Simma-Chiang, MD — Specialty Advisor; Director of Specialty Advising</w:t>
      </w:r>
    </w:p>
    <w:p>
      <w:pPr>
        <w:pStyle w:val="ListParagraph"/>
        <w:numPr>
          <w:ilvl w:val="0"/>
          <w:numId w:val="2"/>
        </w:numPr>
        <w:spacing w:after="40" w:before="0" w:line="276"/>
      </w:pPr>
      <w:r>
        <w:rPr>
          <w:rFonts w:ascii="Calibri" w:cs="Calibri" w:eastAsia="Calibri" w:hAnsi="Calibri"/>
          <w:color w:val="404040"/>
          <w:sz w:val="22"/>
          <w:szCs w:val="22"/>
        </w:rPr>
        <w:t xml:space="preserve">Ann-Gel Palermo, DrPH MPH — Diversity, Equity, and Inclusion representative</w:t>
      </w:r>
    </w:p>
    <w:p>
      <w:pPr>
        <w:pStyle w:val="ListParagraph"/>
        <w:numPr>
          <w:ilvl w:val="0"/>
          <w:numId w:val="2"/>
        </w:numPr>
        <w:spacing w:after="40" w:before="0" w:line="276"/>
      </w:pPr>
      <w:r>
        <w:rPr>
          <w:rFonts w:ascii="Calibri" w:cs="Calibri" w:eastAsia="Calibri" w:hAnsi="Calibri"/>
          <w:color w:val="404040"/>
          <w:sz w:val="22"/>
          <w:szCs w:val="22"/>
        </w:rPr>
        <w:t xml:space="preserve">Brian Coakley, MD — Faculty at Large</w:t>
      </w:r>
    </w:p>
    <w:p>
      <w:pPr>
        <w:pStyle w:val="ListParagraph"/>
        <w:numPr>
          <w:ilvl w:val="0"/>
          <w:numId w:val="2"/>
        </w:numPr>
        <w:spacing w:after="40" w:before="0" w:line="276"/>
      </w:pPr>
      <w:r>
        <w:rPr>
          <w:rFonts w:ascii="Calibri" w:cs="Calibri" w:eastAsia="Calibri" w:hAnsi="Calibri"/>
          <w:color w:val="404040"/>
          <w:sz w:val="22"/>
          <w:szCs w:val="22"/>
        </w:rPr>
        <w:t xml:space="preserve">Staci Leisman, MD — Chair, Course Directors Subcommittee</w:t>
      </w:r>
    </w:p>
    <w:p>
      <w:pPr>
        <w:pStyle w:val="ListParagraph"/>
        <w:numPr>
          <w:ilvl w:val="0"/>
          <w:numId w:val="2"/>
        </w:numPr>
        <w:spacing w:after="40" w:before="0" w:line="276"/>
      </w:pPr>
      <w:r>
        <w:rPr>
          <w:rFonts w:ascii="Calibri" w:cs="Calibri" w:eastAsia="Calibri" w:hAnsi="Calibri"/>
          <w:color w:val="404040"/>
          <w:sz w:val="22"/>
          <w:szCs w:val="22"/>
        </w:rPr>
        <w:t xml:space="preserve">Vasundhara Singh, MD — Chair, Electives Subcommittee</w:t>
      </w:r>
    </w:p>
    <w:p>
      <w:pPr>
        <w:pStyle w:val="ListParagraph"/>
        <w:numPr>
          <w:ilvl w:val="0"/>
          <w:numId w:val="2"/>
        </w:numPr>
        <w:spacing w:after="40" w:before="0" w:line="276"/>
      </w:pPr>
      <w:r>
        <w:rPr>
          <w:rFonts w:ascii="Calibri" w:cs="Calibri" w:eastAsia="Calibri" w:hAnsi="Calibri"/>
          <w:color w:val="404040"/>
          <w:sz w:val="22"/>
          <w:szCs w:val="22"/>
        </w:rPr>
        <w:t xml:space="preserve">Alan Zhang — Student Representative, M1 (ASCEND Phase 1)</w:t>
      </w:r>
    </w:p>
    <w:p>
      <w:pPr>
        <w:pStyle w:val="ListParagraph"/>
        <w:numPr>
          <w:ilvl w:val="0"/>
          <w:numId w:val="2"/>
        </w:numPr>
        <w:spacing w:after="40" w:before="0" w:line="276"/>
      </w:pPr>
      <w:r>
        <w:rPr>
          <w:rFonts w:ascii="Calibri" w:cs="Calibri" w:eastAsia="Calibri" w:hAnsi="Calibri"/>
          <w:color w:val="404040"/>
          <w:sz w:val="22"/>
          <w:szCs w:val="22"/>
        </w:rPr>
        <w:t xml:space="preserve">Jamie Frost — Student Representative, M2 (Legacy)</w:t>
      </w:r>
    </w:p>
    <w:p>
      <w:pPr>
        <w:pStyle w:val="ListParagraph"/>
        <w:numPr>
          <w:ilvl w:val="0"/>
          <w:numId w:val="2"/>
        </w:numPr>
        <w:spacing w:after="40" w:before="0" w:line="276"/>
      </w:pPr>
      <w:r>
        <w:rPr>
          <w:rFonts w:ascii="Calibri" w:cs="Calibri" w:eastAsia="Calibri" w:hAnsi="Calibri"/>
          <w:color w:val="404040"/>
          <w:sz w:val="22"/>
          <w:szCs w:val="22"/>
        </w:rPr>
        <w:t xml:space="preserve">Farimata Mbaye — Student Representative, M3 (Legacy)</w:t>
      </w:r>
    </w:p>
    <w:p>
      <w:pPr>
        <w:pStyle w:val="Heading2"/>
        <w:spacing w:after="120" w:before="240"/>
      </w:pPr>
      <w:r>
        <w:rPr>
          <w:rFonts w:ascii="Calibri" w:cs="Calibri" w:eastAsia="Calibri" w:hAnsi="Calibri"/>
          <w:b/>
          <w:bCs/>
          <w:color w:val="2E5984"/>
          <w:sz w:val="26"/>
          <w:szCs w:val="26"/>
        </w:rPr>
        <w:t xml:space="preserve">Guests/Ex Officio Members Present (Non-Voting)</w:t>
      </w:r>
    </w:p>
    <w:p>
      <w:pPr>
        <w:pStyle w:val="ListParagraph"/>
        <w:numPr>
          <w:ilvl w:val="0"/>
          <w:numId w:val="2"/>
        </w:numPr>
        <w:spacing w:after="40" w:before="0" w:line="276"/>
      </w:pPr>
      <w:r>
        <w:rPr>
          <w:rFonts w:ascii="Calibri" w:cs="Calibri" w:eastAsia="Calibri" w:hAnsi="Calibri"/>
          <w:color w:val="404040"/>
          <w:sz w:val="22"/>
          <w:szCs w:val="22"/>
        </w:rPr>
        <w:t xml:space="preserve">David C. Thomas, MD MHPE — Ex Officio; Dean for Medical Education</w:t>
      </w:r>
    </w:p>
    <w:p>
      <w:pPr>
        <w:pStyle w:val="ListParagraph"/>
        <w:numPr>
          <w:ilvl w:val="0"/>
          <w:numId w:val="2"/>
        </w:numPr>
        <w:spacing w:after="40" w:before="0" w:line="276"/>
      </w:pPr>
      <w:r>
        <w:rPr>
          <w:rFonts w:ascii="Calibri" w:cs="Calibri" w:eastAsia="Calibri" w:hAnsi="Calibri"/>
          <w:color w:val="404040"/>
          <w:sz w:val="22"/>
          <w:szCs w:val="22"/>
        </w:rPr>
        <w:t xml:space="preserve">Valerie Parkas, MD — Ex Officio; Interim Sr. Associate Dean for Student Affairs</w:t>
      </w:r>
    </w:p>
    <w:p>
      <w:pPr>
        <w:pStyle w:val="ListParagraph"/>
        <w:numPr>
          <w:ilvl w:val="0"/>
          <w:numId w:val="2"/>
        </w:numPr>
        <w:spacing w:after="40" w:before="0" w:line="276"/>
      </w:pPr>
      <w:r>
        <w:rPr>
          <w:rFonts w:ascii="Calibri" w:cs="Calibri" w:eastAsia="Calibri" w:hAnsi="Calibri"/>
          <w:color w:val="404040"/>
          <w:sz w:val="22"/>
          <w:szCs w:val="22"/>
        </w:rPr>
        <w:t xml:space="preserve">Rainier Soriano, MD — Ex Officio; Sr. Associate Dean for Curricular Affairs</w:t>
      </w:r>
    </w:p>
    <w:p>
      <w:pPr>
        <w:pStyle w:val="ListParagraph"/>
        <w:numPr>
          <w:ilvl w:val="0"/>
          <w:numId w:val="2"/>
        </w:numPr>
        <w:spacing w:after="40" w:before="0" w:line="276"/>
      </w:pPr>
      <w:r>
        <w:rPr>
          <w:rFonts w:ascii="Calibri" w:cs="Calibri" w:eastAsia="Calibri" w:hAnsi="Calibri"/>
          <w:color w:val="404040"/>
          <w:sz w:val="22"/>
          <w:szCs w:val="22"/>
        </w:rPr>
        <w:t xml:space="preserve">Fatima Shafiq — Recording Secretary; Project Manager, Curricular Affairs</w:t>
      </w:r>
    </w:p>
    <w:p>
      <w:pPr>
        <w:pStyle w:val="Heading2"/>
        <w:spacing w:after="120" w:before="240"/>
      </w:pPr>
      <w:r>
        <w:rPr>
          <w:rFonts w:ascii="Calibri" w:cs="Calibri" w:eastAsia="Calibri" w:hAnsi="Calibri"/>
          <w:b/>
          <w:bCs/>
          <w:color w:val="2E5984"/>
          <w:sz w:val="26"/>
          <w:szCs w:val="26"/>
        </w:rPr>
        <w:t xml:space="preserve">CA Leadership Present (Non-Voting)</w:t>
      </w:r>
    </w:p>
    <w:p>
      <w:pPr>
        <w:spacing w:after="120" w:before="0" w:line="276"/>
      </w:pPr>
      <w:r>
        <w:rPr>
          <w:rFonts w:ascii="Calibri" w:cs="Calibri" w:eastAsia="Calibri" w:hAnsi="Calibri"/>
          <w:i/>
          <w:iCs/>
          <w:color w:val="404040"/>
          <w:sz w:val="22"/>
          <w:szCs w:val="22"/>
        </w:rPr>
        <w:t xml:space="preserve">None.</w:t>
      </w:r>
    </w:p>
    <w:p>
      <w:pPr>
        <w:pStyle w:val="Heading1"/>
        <w:pBdr>
          <w:bottom w:val="single" w:color="1F3A5F" w:sz="8" w:space="4"/>
        </w:pBdr>
        <w:spacing w:after="160" w:before="320"/>
      </w:pPr>
      <w:r>
        <w:rPr>
          <w:rFonts w:ascii="Calibri" w:cs="Calibri" w:eastAsia="Calibri" w:hAnsi="Calibri"/>
          <w:b/>
          <w:bCs/>
          <w:color w:val="1F3A5F"/>
          <w:sz w:val="28"/>
          <w:szCs w:val="28"/>
        </w:rPr>
        <w:t xml:space="preserve">2. Call to Order, Quorum, and Approval of Agenda</w:t>
      </w:r>
    </w:p>
    <w:p>
      <w:pPr>
        <w:pStyle w:val="Heading2"/>
        <w:spacing w:after="120" w:before="240"/>
      </w:pPr>
      <w:r>
        <w:rPr>
          <w:rFonts w:ascii="Calibri" w:cs="Calibri" w:eastAsia="Calibri" w:hAnsi="Calibri"/>
          <w:b/>
          <w:bCs/>
          <w:color w:val="2E5984"/>
          <w:sz w:val="26"/>
          <w:szCs w:val="26"/>
        </w:rPr>
        <w:t xml:space="preserve">Call to Order</w:t>
      </w:r>
    </w:p>
    <w:p>
      <w:pPr>
        <w:spacing w:after="120" w:before="0" w:line="276"/>
      </w:pPr>
      <w:r>
        <w:rPr>
          <w:rFonts w:ascii="Calibri" w:cs="Calibri" w:eastAsia="Calibri" w:hAnsi="Calibri"/>
          <w:color w:val="404040"/>
          <w:sz w:val="22"/>
          <w:szCs w:val="22"/>
        </w:rPr>
        <w:t xml:space="preserve">The meeting was convened on Zoom and chaired in this session by Dr. Robert Fallar, Acting Chair, in the absence of the Chair, Dr. Michelle Francis, who was traveling. Dr. Fallar confirmed quorum on the record after a brief hold for additional members to join, and noted that he was guest-hosting and guest-supporting from the substantive perspective as well. Dr. Fallar confirmed the agenda comprised a single substantive item — the Scholar Year Policy — preceded by approval of the prior meeting's minutes.</w:t>
      </w:r>
    </w:p>
    <w:p>
      <w:pPr>
        <w:pStyle w:val="Heading2"/>
        <w:spacing w:after="120" w:before="240"/>
      </w:pPr>
      <w:r>
        <w:rPr>
          <w:rFonts w:ascii="Calibri" w:cs="Calibri" w:eastAsia="Calibri" w:hAnsi="Calibri"/>
          <w:b/>
          <w:bCs/>
          <w:color w:val="2E5984"/>
          <w:sz w:val="26"/>
          <w:szCs w:val="26"/>
        </w:rPr>
        <w:t xml:space="preserve">Quorum Determination</w:t>
      </w:r>
    </w:p>
    <w:p>
      <w:pPr>
        <w:spacing w:after="120" w:before="0" w:line="276"/>
      </w:pPr>
      <w:r>
        <w:rPr>
          <w:rFonts w:ascii="Calibri" w:cs="Calibri" w:eastAsia="Calibri" w:hAnsi="Calibri"/>
          <w:color w:val="404040"/>
          <w:sz w:val="22"/>
          <w:szCs w:val="22"/>
        </w:rPr>
        <w:t xml:space="preserve">A numeric quorum count was not recorded on the meeting transcript. As this meeting predates the formal quorum-attestation practice adopted under EEC Bylaws Version 1.0 (effective July 2025), the Acting Chair did not announce a voting-member count on the record. The committee proceeded with the agenda; the only voting action (approval of prior minutes) was taken by unanimous consent. The Scholar Year Policy vote was deferred. The Recording Secretary should reconcile attendance against contemporaneous EOC sign-in records before finalizing these minutes for the LCME evidence file.</w:t>
      </w:r>
    </w:p>
    <w:p>
      <w:pPr>
        <w:pStyle w:val="Heading2"/>
        <w:spacing w:after="120" w:before="240"/>
      </w:pPr>
      <w:r>
        <w:rPr>
          <w:rFonts w:ascii="Calibri" w:cs="Calibri" w:eastAsia="Calibri" w:hAnsi="Calibri"/>
          <w:b/>
          <w:bCs/>
          <w:color w:val="2E5984"/>
          <w:sz w:val="26"/>
          <w:szCs w:val="26"/>
        </w:rPr>
        <w:t xml:space="preserve">Approval of Agenda</w:t>
      </w:r>
    </w:p>
    <w:p>
      <w:pPr>
        <w:spacing w:after="120" w:before="0" w:line="276"/>
      </w:pPr>
      <w:r>
        <w:rPr>
          <w:rFonts w:ascii="Calibri" w:cs="Calibri" w:eastAsia="Calibri" w:hAnsi="Calibri"/>
          <w:color w:val="404040"/>
          <w:sz w:val="22"/>
          <w:szCs w:val="22"/>
        </w:rPr>
        <w:t xml:space="preserve">The agenda comprised a single substantive item — the Scholar Year Policy — preceded by approval of the prior meeting's minutes. No agenda modifications were proposed; the agenda was treated as approved as circulated.</w:t>
      </w:r>
    </w:p>
    <w:p>
      <w:pPr>
        <w:pStyle w:val="Heading2"/>
        <w:spacing w:after="120" w:before="240"/>
      </w:pPr>
      <w:r>
        <w:rPr>
          <w:rFonts w:ascii="Calibri" w:cs="Calibri" w:eastAsia="Calibri" w:hAnsi="Calibri"/>
          <w:b/>
          <w:bCs/>
          <w:color w:val="2E5984"/>
          <w:sz w:val="26"/>
          <w:szCs w:val="26"/>
        </w:rPr>
        <w:t xml:space="preserve">Approval of Prior Meeting Minutes</w:t>
      </w:r>
    </w:p>
    <w:p>
      <w:pPr>
        <w:spacing w:after="120" w:before="0" w:line="276"/>
      </w:pPr>
      <w:r>
        <w:rPr>
          <w:rFonts w:ascii="Calibri" w:cs="Calibri" w:eastAsia="Calibri" w:hAnsi="Calibri"/>
          <w:color w:val="404040"/>
          <w:sz w:val="22"/>
          <w:szCs w:val="22"/>
        </w:rPr>
        <w:t xml:space="preserve">The Acting Chair posted the minutes from the prior EOC meeting (February 7, 2025) in the chat and invited comments, questions, or corrections. No objections were raised. Per the committee's established practice, the minutes were treated as approved by unanimous consent in the absence of objection.</w:t>
      </w:r>
    </w:p>
    <w:p>
      <w:pPr>
        <w:spacing w:after="120" w:before="0" w:line="276"/>
      </w:pPr>
      <w:r>
        <w:rPr>
          <w:rFonts w:ascii="Calibri" w:cs="Calibri" w:eastAsia="Calibri" w:hAnsi="Calibri"/>
          <w:b/>
          <w:bCs/>
          <w:color w:val="404040"/>
          <w:sz w:val="22"/>
          <w:szCs w:val="22"/>
        </w:rPr>
        <w:t xml:space="preserve">Outcome:</w:t>
      </w:r>
      <w:r>
        <w:rPr>
          <w:rFonts w:ascii="Calibri" w:cs="Calibri" w:eastAsia="Calibri" w:hAnsi="Calibri"/>
          <w:color w:val="404040"/>
          <w:sz w:val="22"/>
          <w:szCs w:val="22"/>
        </w:rPr>
        <w:t xml:space="preserve"> Minutes from the February 7, 2025 EOC meeting were approved by unanimous consent of the voting members in attendance.</w:t>
      </w:r>
    </w:p>
    <w:p>
      <w:pPr>
        <w:pStyle w:val="Heading1"/>
        <w:pBdr>
          <w:bottom w:val="single" w:color="1F3A5F" w:sz="8" w:space="4"/>
        </w:pBdr>
        <w:spacing w:after="160" w:before="320"/>
      </w:pPr>
      <w:r>
        <w:rPr>
          <w:rFonts w:ascii="Calibri" w:cs="Calibri" w:eastAsia="Calibri" w:hAnsi="Calibri"/>
          <w:b/>
          <w:bCs/>
          <w:color w:val="1F3A5F"/>
          <w:sz w:val="28"/>
          <w:szCs w:val="28"/>
        </w:rPr>
        <w:t xml:space="preserve">3. Subcommittee Reports</w:t>
      </w:r>
    </w:p>
    <w:p>
      <w:pPr>
        <w:spacing w:after="120" w:before="0" w:line="276"/>
      </w:pPr>
      <w:r>
        <w:rPr>
          <w:rFonts w:ascii="Calibri" w:cs="Calibri" w:eastAsia="Calibri" w:hAnsi="Calibri"/>
          <w:color w:val="404040"/>
          <w:sz w:val="22"/>
          <w:szCs w:val="22"/>
        </w:rPr>
        <w:t xml:space="preserve">No subcommittee report-outs were taken at this meeting. The Acting Chair invited general business at the close of the meeting; no items were raised.</w:t>
      </w:r>
    </w:p>
    <w:p>
      <w:pPr>
        <w:pStyle w:val="Heading1"/>
        <w:pBdr>
          <w:bottom w:val="single" w:color="1F3A5F" w:sz="8" w:space="4"/>
        </w:pBdr>
        <w:spacing w:after="160" w:before="320"/>
      </w:pPr>
      <w:r>
        <w:rPr>
          <w:rFonts w:ascii="Calibri" w:cs="Calibri" w:eastAsia="Calibri" w:hAnsi="Calibri"/>
          <w:b/>
          <w:bCs/>
          <w:color w:val="1F3A5F"/>
          <w:sz w:val="28"/>
          <w:szCs w:val="28"/>
        </w:rPr>
        <w:t xml:space="preserve">4. New Business</w:t>
      </w:r>
    </w:p>
    <w:p>
      <w:pPr>
        <w:spacing w:after="120" w:before="0" w:line="276"/>
      </w:pPr>
      <w:r>
        <w:rPr>
          <w:rFonts w:ascii="Calibri" w:cs="Calibri" w:eastAsia="Calibri" w:hAnsi="Calibri"/>
          <w:b/>
          <w:bCs/>
          <w:color w:val="404040"/>
          <w:sz w:val="22"/>
          <w:szCs w:val="22"/>
        </w:rPr>
        <w:t xml:space="preserve">Pre-meeting clarification on EOC's scope of policy review.</w:t>
      </w:r>
      <w:r>
        <w:rPr>
          <w:rFonts w:ascii="Calibri" w:cs="Calibri" w:eastAsia="Calibri" w:hAnsi="Calibri"/>
          <w:color w:val="404040"/>
          <w:sz w:val="22"/>
          <w:szCs w:val="22"/>
        </w:rPr>
        <w:t xml:space="preserve"> Before the meeting was formally convened, Dr. Mary Rojas and the Acting Chair discussed a procedural point that Dr. Rojas asked be raised on the record: when a policy is brought to the EOC, the EOC's authority is to review and approve the </w:t>
      </w:r>
      <w:r>
        <w:rPr>
          <w:rFonts w:ascii="Calibri" w:cs="Calibri" w:eastAsia="Calibri" w:hAnsi="Calibri"/>
          <w:b/>
          <w:bCs/>
          <w:color w:val="404040"/>
          <w:sz w:val="22"/>
          <w:szCs w:val="22"/>
        </w:rPr>
        <w:t xml:space="preserve">policy</w:t>
      </w:r>
      <w:r>
        <w:rPr>
          <w:rFonts w:ascii="Calibri" w:cs="Calibri" w:eastAsia="Calibri" w:hAnsi="Calibri"/>
          <w:color w:val="404040"/>
          <w:sz w:val="22"/>
          <w:szCs w:val="22"/>
        </w:rPr>
        <w:t xml:space="preserve"> itself, not the operational procedures that implement the policy. Operational procedures are managed by the relevant administrative office. Dr. Rojas framed the agenda item accordingly, noting that for the Scholar Year submission to this meeting the procedures section is still under revision and is not part of the EOC's vote.
</w:t>
      </w:r>
      <w:r>
        <w:rPr>
          <w:rFonts w:ascii="Calibri" w:cs="Calibri" w:eastAsia="Calibri" w:hAnsi="Calibri"/>
          <w:b/>
          <w:bCs/>
          <w:color w:val="404040"/>
          <w:sz w:val="22"/>
          <w:szCs w:val="22"/>
        </w:rPr>
        <w:t xml:space="preserve">Next EOC meeting.</w:t>
      </w:r>
      <w:r>
        <w:rPr>
          <w:rFonts w:ascii="Calibri" w:cs="Calibri" w:eastAsia="Calibri" w:hAnsi="Calibri"/>
          <w:color w:val="404040"/>
          <w:sz w:val="22"/>
          <w:szCs w:val="22"/>
        </w:rPr>
        <w:t xml:space="preserve"> The Acting Chair confirmed that the next EOC meeting is scheduled for two weeks from this meeting (March 7, 2025). Dr. Rojas will bring the revised Scholar Year Policy back for a vote at that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5. Review of Prior Action Items</w:t>
      </w:r>
    </w:p>
    <w:p>
      <w:pPr>
        <w:spacing w:after="120" w:before="0" w:line="276"/>
      </w:pPr>
      <w:r>
        <w:rPr>
          <w:rFonts w:ascii="Calibri" w:cs="Calibri" w:eastAsia="Calibri" w:hAnsi="Calibri"/>
          <w:color w:val="404040"/>
          <w:sz w:val="22"/>
          <w:szCs w:val="22"/>
        </w:rPr>
        <w:t xml:space="preserve">Not formally raised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6. Agenda Items — Review, Discussion, and Voting</w:t>
      </w:r>
    </w:p>
    <w:p>
      <w:pPr>
        <w:pStyle w:val="Heading2"/>
        <w:spacing w:after="120" w:before="280"/>
      </w:pPr>
      <w:r>
        <w:rPr>
          <w:rFonts w:ascii="Calibri" w:cs="Calibri" w:eastAsia="Calibri" w:hAnsi="Calibri"/>
          <w:b/>
          <w:bCs/>
          <w:color w:val="2E5984"/>
          <w:sz w:val="26"/>
          <w:szCs w:val="26"/>
        </w:rPr>
        <w:t xml:space="preserve">6.1  Approval of Minutes — Prior EOC Meeting (February 7, 2025)</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120" w:before="0" w:line="276"/>
      </w:pPr>
      <w:r>
        <w:rPr>
          <w:rFonts w:ascii="Calibri" w:cs="Calibri" w:eastAsia="Calibri" w:hAnsi="Calibri"/>
          <w:i/>
          <w:iCs/>
          <w:color w:val="404040"/>
          <w:sz w:val="22"/>
          <w:szCs w:val="22"/>
        </w:rPr>
        <w:t xml:space="preserve">See Section 2 above for the disposition; minutes from the February 7, 2025 EOC meeting were approved by unanimous consent.</w:t>
      </w:r>
    </w:p>
    <w:p>
      <w:pPr>
        <w:pStyle w:val="Heading2"/>
        <w:spacing w:after="120" w:before="280"/>
      </w:pPr>
      <w:r>
        <w:rPr>
          <w:rFonts w:ascii="Calibri" w:cs="Calibri" w:eastAsia="Calibri" w:hAnsi="Calibri"/>
          <w:b/>
          <w:bCs/>
          <w:color w:val="2E5984"/>
          <w:sz w:val="26"/>
          <w:szCs w:val="26"/>
        </w:rPr>
        <w:t xml:space="preserve">6.2  Scholar Year Policy — First-Time Policy Codification (LCME Standard 6 / Standard 11)</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 — DEFERRED]</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Mary Rojas, EdD (Director, Medical Student Research Office)</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6.5 — Elective Opportunities / Scholarly Activity (focus element); 11.1 — Academic Advising (mentor coordination); 12.1 — Financial Aid (self-funding requirement statement); 8.1 — Curricular Management (governance ownership of the policy); 1.1 — Strategic Planning and Continuous Quality Improvement</w:t>
      </w:r>
    </w:p>
    <w:p>
      <w:pPr>
        <w:pStyle w:val="Heading3"/>
        <w:spacing w:after="80" w:before="180"/>
      </w:pPr>
      <w:r>
        <w:rPr>
          <w:rFonts w:ascii="Calibri" w:cs="Calibri" w:eastAsia="Calibri" w:hAnsi="Calibri"/>
          <w:b/>
          <w:bCs/>
          <w:i/>
          <w:iCs/>
          <w:color w:val="404040"/>
          <w:sz w:val="22"/>
          <w:szCs w:val="22"/>
        </w:rPr>
        <w:t xml:space="preserve">Framing — Scholar Year vs. Leave of Absence; Scope of EOC Review</w:t>
      </w:r>
    </w:p>
    <w:p>
      <w:pPr>
        <w:spacing w:after="120" w:before="0" w:line="276"/>
      </w:pPr>
      <w:r>
        <w:rPr>
          <w:rFonts w:ascii="Calibri" w:cs="Calibri" w:eastAsia="Calibri" w:hAnsi="Calibri"/>
          <w:color w:val="404040"/>
          <w:sz w:val="22"/>
          <w:szCs w:val="22"/>
        </w:rPr>
        <w:t xml:space="preserve">Dr. Mary Rojas presented the proposed Scholar Year Policy. Dr. Rojas opened by clarifying the scope of the EOC's review per the pre-meeting discussion: the EOC is being asked to approve the </w:t>
      </w:r>
      <w:r>
        <w:rPr>
          <w:rFonts w:ascii="Calibri" w:cs="Calibri" w:eastAsia="Calibri" w:hAnsi="Calibri"/>
          <w:b/>
          <w:bCs/>
          <w:color w:val="404040"/>
          <w:sz w:val="22"/>
          <w:szCs w:val="22"/>
        </w:rPr>
        <w:t xml:space="preserve">policy</w:t>
      </w:r>
      <w:r>
        <w:rPr>
          <w:rFonts w:ascii="Calibri" w:cs="Calibri" w:eastAsia="Calibri" w:hAnsi="Calibri"/>
          <w:color w:val="404040"/>
          <w:sz w:val="22"/>
          <w:szCs w:val="22"/>
        </w:rPr>
        <w:t xml:space="preserve"> portion; the operational procedures (application workflow, review routing, etc.) are still under revision and are not part of this vote. Dr. Rojas described the broader institutional context: the Scholar Year (administered by the Medical Student Research Office, MSRO) is an optional, full-time matriculated academic year focused on a scholarly topic of public-health, scientific, or social impact; students develop scholarly products (publications, presentations, occasionally patents or devices), foster professional connections, and frequently use the year to strengthen their residency application.</w:t>
      </w:r>
    </w:p>
    <w:p>
      <w:pPr>
        <w:spacing w:after="120" w:before="0" w:line="276"/>
      </w:pPr>
      <w:r>
        <w:rPr>
          <w:rFonts w:ascii="Calibri" w:cs="Calibri" w:eastAsia="Calibri" w:hAnsi="Calibri"/>
          <w:color w:val="404040"/>
          <w:sz w:val="22"/>
          <w:szCs w:val="22"/>
        </w:rPr>
        <w:t xml:space="preserve">Dr. Rojas distinguished the Scholar Year from a </w:t>
      </w:r>
      <w:r>
        <w:rPr>
          <w:rFonts w:ascii="Calibri" w:cs="Calibri" w:eastAsia="Calibri" w:hAnsi="Calibri"/>
          <w:b/>
          <w:bCs/>
          <w:color w:val="404040"/>
          <w:sz w:val="22"/>
          <w:szCs w:val="22"/>
        </w:rPr>
        <w:t xml:space="preserve">Leave of Absence (LOA)</w:t>
      </w:r>
      <w:r>
        <w:rPr>
          <w:rFonts w:ascii="Calibri" w:cs="Calibri" w:eastAsia="Calibri" w:hAnsi="Calibri"/>
          <w:color w:val="404040"/>
          <w:sz w:val="22"/>
          <w:szCs w:val="22"/>
        </w:rPr>
        <w:t xml:space="preserve">. ISMMS has, since approximately 2002, maintained a distinct institutional category for the Scholar Year (under MSRO) from the LOA categories (under Student Affairs). LOAs at ISMMS include personal, medical, educational, military, and school-initiated categories; the educational LOA is the vehicle for students pursuing a second degree, whether internal (e.g., MD/MBA, MD/MPH) or external. </w:t>
      </w:r>
      <w:r>
        <w:rPr>
          <w:rFonts w:ascii="Calibri" w:cs="Calibri" w:eastAsia="Calibri" w:hAnsi="Calibri"/>
          <w:b/>
          <w:bCs/>
          <w:color w:val="404040"/>
          <w:sz w:val="22"/>
          <w:szCs w:val="22"/>
        </w:rPr>
        <w:t xml:space="preserve">Scholar Year students remain matriculated ISMMS medical students</w:t>
      </w:r>
      <w:r>
        <w:rPr>
          <w:rFonts w:ascii="Calibri" w:cs="Calibri" w:eastAsia="Calibri" w:hAnsi="Calibri"/>
          <w:color w:val="404040"/>
          <w:sz w:val="22"/>
          <w:szCs w:val="22"/>
        </w:rPr>
        <w:t xml:space="preserve"> with associated benefits (housing, malpractice insurance, system access, email). The MD/MSCR portal program is a specific exception that falls under the Scholar Year category rather than the educational LOA. Scholar Year students </w:t>
      </w:r>
      <w:r>
        <w:rPr>
          <w:rFonts w:ascii="Calibri" w:cs="Calibri" w:eastAsia="Calibri" w:hAnsi="Calibri"/>
          <w:b/>
          <w:bCs/>
          <w:color w:val="404040"/>
          <w:sz w:val="22"/>
          <w:szCs w:val="22"/>
        </w:rPr>
        <w:t xml:space="preserve">cannot engage in the medical school curriculum</w:t>
      </w:r>
      <w:r>
        <w:rPr>
          <w:rFonts w:ascii="Calibri" w:cs="Calibri" w:eastAsia="Calibri" w:hAnsi="Calibri"/>
          <w:color w:val="404040"/>
          <w:sz w:val="22"/>
          <w:szCs w:val="22"/>
        </w:rPr>
        <w:t xml:space="preserve"> during the year (no rotations, clerkships, away electives, or elective credits).</w:t>
      </w:r>
    </w:p>
    <w:p>
      <w:pPr>
        <w:pStyle w:val="Heading3"/>
        <w:spacing w:after="80" w:before="180"/>
      </w:pPr>
      <w:r>
        <w:rPr>
          <w:rFonts w:ascii="Calibri" w:cs="Calibri" w:eastAsia="Calibri" w:hAnsi="Calibri"/>
          <w:b/>
          <w:bCs/>
          <w:i/>
          <w:iCs/>
          <w:color w:val="404040"/>
          <w:sz w:val="22"/>
          <w:szCs w:val="22"/>
        </w:rPr>
        <w:t xml:space="preserve">Volume and Distribution of Scholar Year Participation</w:t>
      </w:r>
    </w:p>
    <w:p>
      <w:pPr>
        <w:spacing w:after="120" w:before="0" w:line="276"/>
      </w:pPr>
      <w:r>
        <w:rPr>
          <w:rFonts w:ascii="Calibri" w:cs="Calibri" w:eastAsia="Calibri" w:hAnsi="Calibri"/>
          <w:color w:val="404040"/>
          <w:sz w:val="22"/>
          <w:szCs w:val="22"/>
        </w:rPr>
        <w:t xml:space="preserve">Over the past six years, Scholar Year participation has ranged from approximately </w:t>
      </w:r>
      <w:r>
        <w:rPr>
          <w:rFonts w:ascii="Calibri" w:cs="Calibri" w:eastAsia="Calibri" w:hAnsi="Calibri"/>
          <w:b/>
          <w:bCs/>
          <w:color w:val="404040"/>
          <w:sz w:val="22"/>
          <w:szCs w:val="22"/>
        </w:rPr>
        <w:t xml:space="preserve">32 to 44 students per year</w:t>
      </w:r>
      <w:r>
        <w:rPr>
          <w:rFonts w:ascii="Calibri" w:cs="Calibri" w:eastAsia="Calibri" w:hAnsi="Calibri"/>
          <w:color w:val="404040"/>
          <w:sz w:val="22"/>
          <w:szCs w:val="22"/>
        </w:rPr>
        <w:t xml:space="preserve">, with a moderate increase during the early pandemic period and stabilization at approximately 35 per year currently. (These figures do not include students pursuing a second degree, which would push the total higher.)</w:t>
      </w:r>
    </w:p>
    <w:p>
      <w:pPr>
        <w:spacing w:after="120" w:before="0" w:line="276"/>
      </w:pPr>
      <w:r>
        <w:rPr>
          <w:rFonts w:ascii="Calibri" w:cs="Calibri" w:eastAsia="Calibri" w:hAnsi="Calibri"/>
          <w:color w:val="404040"/>
          <w:sz w:val="22"/>
          <w:szCs w:val="22"/>
        </w:rPr>
        <w:t xml:space="preserve">Across more than 30 distinct project areas, the most common subject areas reflect the residency specialties widely characterized as competitive. Gastroenterology is comparatively well-represented for institution-specific reasons (the Digestive Disease Research Foundation has historically funded ISMMS scholarly-year students); the other most-represented areas align with the national residency-competitiveness landscape. Dr. Rojas characterized Scholar Year participation as a </w:t>
      </w:r>
      <w:r>
        <w:rPr>
          <w:rFonts w:ascii="Calibri" w:cs="Calibri" w:eastAsia="Calibri" w:hAnsi="Calibri"/>
          <w:i/>
          <w:iCs/>
          <w:color w:val="404040"/>
          <w:sz w:val="22"/>
          <w:szCs w:val="22"/>
        </w:rPr>
        <w:t xml:space="preserve">de facto</w:t>
      </w:r>
      <w:r>
        <w:rPr>
          <w:rFonts w:ascii="Calibri" w:cs="Calibri" w:eastAsia="Calibri" w:hAnsi="Calibri"/>
          <w:color w:val="404040"/>
          <w:sz w:val="22"/>
          <w:szCs w:val="22"/>
        </w:rPr>
        <w:t xml:space="preserve"> expectation in some of these specialties — "grapevine" guidance to applicants — though not a formal residency requirement.</w:t>
      </w:r>
    </w:p>
    <w:p>
      <w:pPr>
        <w:pStyle w:val="Heading3"/>
        <w:spacing w:after="80" w:before="180"/>
      </w:pPr>
      <w:r>
        <w:rPr>
          <w:rFonts w:ascii="Calibri" w:cs="Calibri" w:eastAsia="Calibri" w:hAnsi="Calibri"/>
          <w:b/>
          <w:bCs/>
          <w:i/>
          <w:iCs/>
          <w:color w:val="404040"/>
          <w:sz w:val="22"/>
          <w:szCs w:val="22"/>
        </w:rPr>
        <w:t xml:space="preserve">Policy Framing — First Codification of Long-Standing Practice</w:t>
      </w:r>
    </w:p>
    <w:p>
      <w:pPr>
        <w:spacing w:after="120" w:before="0" w:line="276"/>
      </w:pPr>
      <w:r>
        <w:rPr>
          <w:rFonts w:ascii="Calibri" w:cs="Calibri" w:eastAsia="Calibri" w:hAnsi="Calibri"/>
          <w:color w:val="404040"/>
          <w:sz w:val="22"/>
          <w:szCs w:val="22"/>
        </w:rPr>
        <w:t xml:space="preserve">Dr. Rojas noted that the Scholar Year has existed at ISMMS since well before her arrival in 2018, but has been administered to date under </w:t>
      </w:r>
      <w:r>
        <w:rPr>
          <w:rFonts w:ascii="Calibri" w:cs="Calibri" w:eastAsia="Calibri" w:hAnsi="Calibri"/>
          <w:b/>
          <w:bCs/>
          <w:color w:val="404040"/>
          <w:sz w:val="22"/>
          <w:szCs w:val="22"/>
        </w:rPr>
        <w:t xml:space="preserve">guidelines</w:t>
      </w:r>
      <w:r>
        <w:rPr>
          <w:rFonts w:ascii="Calibri" w:cs="Calibri" w:eastAsia="Calibri" w:hAnsi="Calibri"/>
          <w:color w:val="404040"/>
          <w:sz w:val="22"/>
          <w:szCs w:val="22"/>
        </w:rPr>
        <w:t xml:space="preserve"> rather than a formal policy. The proposed policy is the first-time codification of the practice as institutional policy and will apply to both Legacy- and ASCEND-curriculum students.</w:t>
      </w:r>
    </w:p>
    <w:p>
      <w:pPr>
        <w:spacing w:after="120" w:before="0" w:line="276"/>
      </w:pPr>
      <w:r>
        <w:rPr>
          <w:rFonts w:ascii="Calibri" w:cs="Calibri" w:eastAsia="Calibri" w:hAnsi="Calibri"/>
          <w:color w:val="404040"/>
          <w:sz w:val="22"/>
          <w:szCs w:val="22"/>
        </w:rPr>
        <w:t xml:space="preserve">The principal substantive additions in moving from guideline to policy are: (i) a clear statement of the </w:t>
      </w:r>
      <w:r>
        <w:rPr>
          <w:rFonts w:ascii="Calibri" w:cs="Calibri" w:eastAsia="Calibri" w:hAnsi="Calibri"/>
          <w:b/>
          <w:bCs/>
          <w:color w:val="404040"/>
          <w:sz w:val="22"/>
          <w:szCs w:val="22"/>
        </w:rPr>
        <w:t xml:space="preserve">number of clinical hours</w:t>
      </w:r>
      <w:r>
        <w:rPr>
          <w:rFonts w:ascii="Calibri" w:cs="Calibri" w:eastAsia="Calibri" w:hAnsi="Calibri"/>
          <w:color w:val="404040"/>
          <w:sz w:val="22"/>
          <w:szCs w:val="22"/>
        </w:rPr>
        <w:t xml:space="preserve"> a Scholar Year student may engage in that is not directly related to the scholarly project; and (ii) a clear statement of </w:t>
      </w:r>
      <w:r>
        <w:rPr>
          <w:rFonts w:ascii="Calibri" w:cs="Calibri" w:eastAsia="Calibri" w:hAnsi="Calibri"/>
          <w:b/>
          <w:bCs/>
          <w:color w:val="404040"/>
          <w:sz w:val="22"/>
          <w:szCs w:val="22"/>
        </w:rPr>
        <w:t xml:space="preserve">vacation / time off</w:t>
      </w:r>
      <w:r>
        <w:rPr>
          <w:rFonts w:ascii="Calibri" w:cs="Calibri" w:eastAsia="Calibri" w:hAnsi="Calibri"/>
          <w:color w:val="404040"/>
          <w:sz w:val="22"/>
          <w:szCs w:val="22"/>
        </w:rPr>
        <w:t xml:space="preserve">. Both additions respond to student feedback collected in the policy-development cycle and were highlighted by the student reviewers as the most valued elements of the codification.</w:t>
      </w:r>
    </w:p>
    <w:p>
      <w:pPr>
        <w:spacing w:after="120" w:before="0" w:line="276"/>
      </w:pPr>
      <w:r>
        <w:rPr>
          <w:rFonts w:ascii="Calibri" w:cs="Calibri" w:eastAsia="Calibri" w:hAnsi="Calibri"/>
          <w:color w:val="404040"/>
          <w:sz w:val="22"/>
          <w:szCs w:val="22"/>
        </w:rPr>
        <w:t xml:space="preserve">Multiple offices reviewed prior drafts: the MSRO team, Curricular Affairs leadership, Medical Education leadership, Enrollment Services, and Student Affairs. Two student representatives in their third year or above with completed or ongoing Scholar Year experience were also asked for input; their feedback (particularly on clinical-hour caps and on the mentor's awareness of the student's entitlements) is being incorporated into the mentor–mentee agreement form.</w:t>
      </w:r>
    </w:p>
    <w:p>
      <w:pPr>
        <w:pStyle w:val="Heading3"/>
        <w:spacing w:after="80" w:before="180"/>
      </w:pPr>
      <w:r>
        <w:rPr>
          <w:rFonts w:ascii="Calibri" w:cs="Calibri" w:eastAsia="Calibri" w:hAnsi="Calibri"/>
          <w:b/>
          <w:bCs/>
          <w:i/>
          <w:iCs/>
          <w:color w:val="404040"/>
          <w:sz w:val="22"/>
          <w:szCs w:val="22"/>
        </w:rPr>
        <w:t xml:space="preserve">Eligibility Criteria</w:t>
      </w:r>
    </w:p>
    <w:p>
      <w:pPr>
        <w:spacing w:after="120" w:before="0" w:line="276"/>
      </w:pPr>
      <w:r>
        <w:rPr>
          <w:rFonts w:ascii="Calibri" w:cs="Calibri" w:eastAsia="Calibri" w:hAnsi="Calibri"/>
          <w:color w:val="404040"/>
          <w:sz w:val="22"/>
          <w:szCs w:val="22"/>
        </w:rPr>
        <w:t xml:space="preserve">Dr. Rojas walked the policy text. The eligibility section requires that the student:</w:t>
      </w:r>
    </w:p>
    <w:p>
      <w:pPr>
        <w:pStyle w:val="ListParagraph"/>
        <w:numPr>
          <w:ilvl w:val="0"/>
          <w:numId w:val="2"/>
        </w:numPr>
        <w:spacing w:after="60" w:before="0" w:line="276"/>
      </w:pPr>
      <w:r>
        <w:rPr>
          <w:rFonts w:ascii="Calibri" w:cs="Calibri" w:eastAsia="Calibri" w:hAnsi="Calibri"/>
          <w:color w:val="404040"/>
          <w:sz w:val="22"/>
          <w:szCs w:val="22"/>
        </w:rPr>
        <w:t xml:space="preserve">Not be on academic probation or under any disciplinary action.</w:t>
      </w:r>
    </w:p>
    <w:p>
      <w:pPr>
        <w:pStyle w:val="ListParagraph"/>
        <w:numPr>
          <w:ilvl w:val="0"/>
          <w:numId w:val="2"/>
        </w:numPr>
        <w:spacing w:after="60" w:before="0" w:line="276"/>
      </w:pPr>
      <w:r>
        <w:rPr>
          <w:rFonts w:ascii="Calibri" w:cs="Calibri" w:eastAsia="Calibri" w:hAnsi="Calibri"/>
          <w:color w:val="404040"/>
          <w:sz w:val="22"/>
          <w:szCs w:val="22"/>
        </w:rPr>
        <w:t xml:space="preserve">Have completed Phase 2 (ASCEND) or Year 3 (Legacy) requirements before commencing the Scholar Year.</w:t>
      </w:r>
    </w:p>
    <w:p>
      <w:pPr>
        <w:pStyle w:val="ListParagraph"/>
        <w:numPr>
          <w:ilvl w:val="0"/>
          <w:numId w:val="2"/>
        </w:numPr>
        <w:spacing w:after="60" w:before="0" w:line="276"/>
      </w:pPr>
      <w:r>
        <w:rPr>
          <w:rFonts w:ascii="Calibri" w:cs="Calibri" w:eastAsia="Calibri" w:hAnsi="Calibri"/>
          <w:color w:val="404040"/>
          <w:sz w:val="22"/>
          <w:szCs w:val="22"/>
        </w:rPr>
        <w:t xml:space="preserve">Be able to support themselves financially for the academic year, currently estimated at approximately </w:t>
      </w:r>
      <w:r>
        <w:rPr>
          <w:rFonts w:ascii="Calibri" w:cs="Calibri" w:eastAsia="Calibri" w:hAnsi="Calibri"/>
          <w:b/>
          <w:bCs/>
          <w:color w:val="404040"/>
          <w:sz w:val="22"/>
          <w:szCs w:val="22"/>
        </w:rPr>
        <w:t xml:space="preserve">$35,000</w:t>
      </w:r>
      <w:r>
        <w:rPr>
          <w:rFonts w:ascii="Calibri" w:cs="Calibri" w:eastAsia="Calibri" w:hAnsi="Calibri"/>
          <w:color w:val="404040"/>
          <w:sz w:val="22"/>
          <w:szCs w:val="22"/>
        </w:rPr>
        <w:t xml:space="preserve"> to cover cost of living, housing, food, and health insurance. The figure will be re-baselined periodically as cost-of-living changes. Funding sources may include fellowships, department/grant support, stipends, student loans, or personal resources.</w:t>
      </w:r>
    </w:p>
    <w:p>
      <w:pPr>
        <w:pStyle w:val="ListParagraph"/>
        <w:numPr>
          <w:ilvl w:val="0"/>
          <w:numId w:val="2"/>
        </w:numPr>
        <w:spacing w:after="60" w:before="0" w:line="276"/>
      </w:pPr>
      <w:r>
        <w:rPr>
          <w:rFonts w:ascii="Calibri" w:cs="Calibri" w:eastAsia="Calibri" w:hAnsi="Calibri"/>
          <w:color w:val="404040"/>
          <w:sz w:val="22"/>
          <w:szCs w:val="22"/>
        </w:rPr>
        <w:t xml:space="preserve">Have an identified scholarly mentor who has agreed in writing to mentor the student on a defined project.</w:t>
      </w:r>
    </w:p>
    <w:p>
      <w:pPr>
        <w:spacing w:after="120" w:before="0" w:line="276"/>
      </w:pPr>
      <w:r>
        <w:rPr>
          <w:rFonts w:ascii="Calibri" w:cs="Calibri" w:eastAsia="Calibri" w:hAnsi="Calibri"/>
          <w:color w:val="404040"/>
          <w:sz w:val="22"/>
          <w:szCs w:val="22"/>
        </w:rPr>
        <w:t xml:space="preserve">The Scholar Year is a </w:t>
      </w:r>
      <w:r>
        <w:rPr>
          <w:rFonts w:ascii="Calibri" w:cs="Calibri" w:eastAsia="Calibri" w:hAnsi="Calibri"/>
          <w:b/>
          <w:bCs/>
          <w:color w:val="404040"/>
          <w:sz w:val="22"/>
          <w:szCs w:val="22"/>
        </w:rPr>
        <w:t xml:space="preserve">full academic year</w:t>
      </w:r>
      <w:r>
        <w:rPr>
          <w:rFonts w:ascii="Calibri" w:cs="Calibri" w:eastAsia="Calibri" w:hAnsi="Calibri"/>
          <w:color w:val="404040"/>
          <w:sz w:val="22"/>
          <w:szCs w:val="22"/>
        </w:rPr>
        <w:t xml:space="preserve">, July 1 – June 30 (with the precise framing varying slightly year-to-year based on the academic calendar for the entering Year-4 cohort). It is not a shortened option.</w:t>
      </w:r>
    </w:p>
    <w:p>
      <w:pPr>
        <w:pStyle w:val="Heading3"/>
        <w:spacing w:after="80" w:before="180"/>
      </w:pPr>
      <w:r>
        <w:rPr>
          <w:rFonts w:ascii="Calibri" w:cs="Calibri" w:eastAsia="Calibri" w:hAnsi="Calibri"/>
          <w:b/>
          <w:bCs/>
          <w:i/>
          <w:iCs/>
          <w:color w:val="404040"/>
          <w:sz w:val="22"/>
          <w:szCs w:val="22"/>
        </w:rPr>
        <w:t xml:space="preserve">Application Date — May 15 Deadline and Phase 3 Lottery Discussion</w:t>
      </w:r>
    </w:p>
    <w:p>
      <w:pPr>
        <w:spacing w:after="120" w:before="0" w:line="276"/>
      </w:pPr>
      <w:r>
        <w:rPr>
          <w:rFonts w:ascii="Calibri" w:cs="Calibri" w:eastAsia="Calibri" w:hAnsi="Calibri"/>
          <w:color w:val="404040"/>
          <w:sz w:val="22"/>
          <w:szCs w:val="22"/>
        </w:rPr>
        <w:t xml:space="preserve">The application deadline in the proposed policy is </w:t>
      </w:r>
      <w:r>
        <w:rPr>
          <w:rFonts w:ascii="Calibri" w:cs="Calibri" w:eastAsia="Calibri" w:hAnsi="Calibri"/>
          <w:b/>
          <w:bCs/>
          <w:color w:val="404040"/>
          <w:sz w:val="22"/>
          <w:szCs w:val="22"/>
        </w:rPr>
        <w:t xml:space="preserve">May 15</w:t>
      </w:r>
      <w:r>
        <w:rPr>
          <w:rFonts w:ascii="Calibri" w:cs="Calibri" w:eastAsia="Calibri" w:hAnsi="Calibri"/>
          <w:color w:val="404040"/>
          <w:sz w:val="22"/>
          <w:szCs w:val="22"/>
        </w:rPr>
        <w:t xml:space="preserve"> of the year in which the student plans to start. Dr. Valerie Parkas asked whether this date should be re-examined in light of the ASCEND Phase 3 lottery timing (in November of the student's third year). The discussion clarified the constraints:</w:t>
      </w:r>
    </w:p>
    <w:p>
      <w:pPr>
        <w:pStyle w:val="ListParagraph"/>
        <w:numPr>
          <w:ilvl w:val="0"/>
          <w:numId w:val="2"/>
        </w:numPr>
        <w:spacing w:after="60" w:before="0" w:line="276"/>
      </w:pPr>
      <w:r>
        <w:rPr>
          <w:rFonts w:ascii="Calibri" w:cs="Calibri" w:eastAsia="Calibri" w:hAnsi="Calibri"/>
          <w:color w:val="404040"/>
          <w:sz w:val="22"/>
          <w:szCs w:val="22"/>
        </w:rPr>
        <w:t xml:space="preserve">Moving the Scholar Year deadline before the Phase 3 lottery would require moving it approximately 5–6 months earlier (i.e., before November of Year 3).</w:t>
      </w:r>
    </w:p>
    <w:p>
      <w:pPr>
        <w:pStyle w:val="ListParagraph"/>
        <w:numPr>
          <w:ilvl w:val="0"/>
          <w:numId w:val="2"/>
        </w:numPr>
        <w:spacing w:after="60" w:before="0" w:line="276"/>
      </w:pPr>
      <w:r>
        <w:rPr>
          <w:rFonts w:ascii="Calibri" w:cs="Calibri" w:eastAsia="Calibri" w:hAnsi="Calibri"/>
          <w:color w:val="404040"/>
          <w:sz w:val="22"/>
          <w:szCs w:val="22"/>
        </w:rPr>
        <w:t xml:space="preserve">Most students do not learn about </w:t>
      </w:r>
      <w:r>
        <w:rPr>
          <w:rFonts w:ascii="Calibri" w:cs="Calibri" w:eastAsia="Calibri" w:hAnsi="Calibri"/>
          <w:b/>
          <w:bCs/>
          <w:color w:val="404040"/>
          <w:sz w:val="22"/>
          <w:szCs w:val="22"/>
        </w:rPr>
        <w:t xml:space="preserve">external scholarly fellowship awards</w:t>
      </w:r>
      <w:r>
        <w:rPr>
          <w:rFonts w:ascii="Calibri" w:cs="Calibri" w:eastAsia="Calibri" w:hAnsi="Calibri"/>
          <w:color w:val="404040"/>
          <w:sz w:val="22"/>
          <w:szCs w:val="22"/>
        </w:rPr>
        <w:t xml:space="preserve"> until April (NIH, Sarnoff, and several external research-program awards announce in March–April). An earlier deadline would therefore force students to commit without funding information.</w:t>
      </w:r>
    </w:p>
    <w:p>
      <w:pPr>
        <w:pStyle w:val="ListParagraph"/>
        <w:numPr>
          <w:ilvl w:val="0"/>
          <w:numId w:val="2"/>
        </w:numPr>
        <w:spacing w:after="60" w:before="0" w:line="276"/>
      </w:pPr>
      <w:r>
        <w:rPr>
          <w:rFonts w:ascii="Calibri" w:cs="Calibri" w:eastAsia="Calibri" w:hAnsi="Calibri"/>
          <w:color w:val="404040"/>
          <w:sz w:val="22"/>
          <w:szCs w:val="22"/>
        </w:rPr>
        <w:t xml:space="preserve">ISMMS's current practice already de-couples the Scholar Year deadline from the lottery — students are advised to enter the lottery and request the Scholar Year separately; if the Scholar Year is approved, the lottery placement is released.</w:t>
      </w:r>
    </w:p>
    <w:p>
      <w:pPr>
        <w:pStyle w:val="ListParagraph"/>
        <w:numPr>
          <w:ilvl w:val="0"/>
          <w:numId w:val="2"/>
        </w:numPr>
        <w:spacing w:after="60" w:before="0" w:line="276"/>
      </w:pPr>
      <w:r>
        <w:rPr>
          <w:rFonts w:ascii="Calibri" w:cs="Calibri" w:eastAsia="Calibri" w:hAnsi="Calibri"/>
          <w:color w:val="404040"/>
          <w:sz w:val="22"/>
          <w:szCs w:val="22"/>
        </w:rPr>
        <w:t xml:space="preserve">Withdrawal from the Scholar Year is permitted; a student who withdraws can be re-routed to the lottery placement.</w:t>
      </w:r>
    </w:p>
    <w:p>
      <w:pPr>
        <w:spacing w:after="120" w:before="0" w:line="276"/>
      </w:pPr>
      <w:r>
        <w:rPr>
          <w:rFonts w:ascii="Calibri" w:cs="Calibri" w:eastAsia="Calibri" w:hAnsi="Calibri"/>
          <w:color w:val="404040"/>
          <w:sz w:val="22"/>
          <w:szCs w:val="22"/>
        </w:rPr>
        <w:t xml:space="preserve">Drs. Holzer and Soriano observed that, in ASCEND, students will finish Phase 2 in February with the lottery in November of the prior calendar year, giving them substantial time to consider Scholar Year before the May 15 deadline. The proposed date was retained.</w:t>
      </w:r>
    </w:p>
    <w:p>
      <w:pPr>
        <w:pStyle w:val="Heading3"/>
        <w:spacing w:after="80" w:before="180"/>
      </w:pPr>
      <w:r>
        <w:rPr>
          <w:rFonts w:ascii="Calibri" w:cs="Calibri" w:eastAsia="Calibri" w:hAnsi="Calibri"/>
          <w:b/>
          <w:bCs/>
          <w:i/>
          <w:iCs/>
          <w:color w:val="404040"/>
          <w:sz w:val="22"/>
          <w:szCs w:val="22"/>
        </w:rPr>
        <w:t xml:space="preserve">Guidelines — Clinical Activities Cap and EHOP Engagement</w:t>
      </w:r>
    </w:p>
    <w:p>
      <w:pPr>
        <w:spacing w:after="120" w:before="0" w:line="276"/>
      </w:pPr>
      <w:r>
        <w:rPr>
          <w:rFonts w:ascii="Calibri" w:cs="Calibri" w:eastAsia="Calibri" w:hAnsi="Calibri"/>
          <w:color w:val="404040"/>
          <w:sz w:val="22"/>
          <w:szCs w:val="22"/>
        </w:rPr>
        <w:t xml:space="preserve">The proposed policy sets out guidelines on clinical engagement during the Scholar Year. Students cannot engage in the medical school curriculum (no rotations, clerkships, electives), and a student's department/mentor </w:t>
      </w:r>
      <w:r>
        <w:rPr>
          <w:rFonts w:ascii="Calibri" w:cs="Calibri" w:eastAsia="Calibri" w:hAnsi="Calibri"/>
          <w:b/>
          <w:bCs/>
          <w:color w:val="404040"/>
          <w:sz w:val="22"/>
          <w:szCs w:val="22"/>
        </w:rPr>
        <w:t xml:space="preserve">cannot expect the student to engage in more than 8 hours per week or approximately 32 hours per month of clinical activity not directly related to the scholarly project</w:t>
      </w:r>
      <w:r>
        <w:rPr>
          <w:rFonts w:ascii="Calibri" w:cs="Calibri" w:eastAsia="Calibri" w:hAnsi="Calibri"/>
          <w:color w:val="404040"/>
          <w:sz w:val="22"/>
          <w:szCs w:val="22"/>
        </w:rPr>
        <w:t xml:space="preserve">.</w:t>
      </w:r>
    </w:p>
    <w:p>
      <w:pPr>
        <w:spacing w:after="120" w:before="0" w:line="276"/>
      </w:pPr>
      <w:r>
        <w:rPr>
          <w:rFonts w:ascii="Calibri" w:cs="Calibri" w:eastAsia="Calibri" w:hAnsi="Calibri"/>
          <w:color w:val="404040"/>
          <w:sz w:val="22"/>
          <w:szCs w:val="22"/>
        </w:rPr>
        <w:t xml:space="preserve">Students may continue to participate in EHOP (East Harlem Health Outreach Partnership) and similar extracurricular community-health activities, as these are by design separate from the curriculum and from Scholar Year project hours; however, EHOP must not interfere with the student's Scholar Year project work.</w:t>
      </w:r>
    </w:p>
    <w:p>
      <w:pPr>
        <w:spacing w:after="120" w:before="0" w:line="276"/>
      </w:pPr>
      <w:r>
        <w:rPr>
          <w:rFonts w:ascii="Calibri" w:cs="Calibri" w:eastAsia="Calibri" w:hAnsi="Calibri"/>
          <w:color w:val="404040"/>
          <w:sz w:val="22"/>
          <w:szCs w:val="22"/>
        </w:rPr>
        <w:t xml:space="preserve">Mr. Masih Babagoli noted that the EHOP engagement question was the principal point of student interest in his outreach to scholarly-year peers; the proposed framing aligns with the existing community-of-practice understanding.</w:t>
      </w:r>
    </w:p>
    <w:p>
      <w:pPr>
        <w:pStyle w:val="Heading3"/>
        <w:spacing w:after="80" w:before="180"/>
      </w:pPr>
      <w:r>
        <w:rPr>
          <w:rFonts w:ascii="Calibri" w:cs="Calibri" w:eastAsia="Calibri" w:hAnsi="Calibri"/>
          <w:b/>
          <w:bCs/>
          <w:i/>
          <w:iCs/>
          <w:color w:val="404040"/>
          <w:sz w:val="22"/>
          <w:szCs w:val="22"/>
        </w:rPr>
        <w:t xml:space="preserve">Guidelines — Vacation / Time Off (Substantive Revision Required Pre-Vote)</w:t>
      </w:r>
    </w:p>
    <w:p>
      <w:pPr>
        <w:spacing w:after="120" w:before="0" w:line="276"/>
      </w:pPr>
      <w:r>
        <w:rPr>
          <w:rFonts w:ascii="Calibri" w:cs="Calibri" w:eastAsia="Calibri" w:hAnsi="Calibri"/>
          <w:color w:val="404040"/>
          <w:sz w:val="22"/>
          <w:szCs w:val="22"/>
        </w:rPr>
        <w:t xml:space="preserve">Dr. David C. Thomas raised the proposed vacation provision. The draft as presented allotted a baseline of two weeks. Dr. Thomas observed that this is comparatively low against typical professional-work-year norms and asked the committee to consider stronger framing.</w:t>
      </w:r>
    </w:p>
    <w:p>
      <w:pPr>
        <w:spacing w:after="120" w:before="0" w:line="276"/>
      </w:pPr>
      <w:r>
        <w:rPr>
          <w:rFonts w:ascii="Calibri" w:cs="Calibri" w:eastAsia="Calibri" w:hAnsi="Calibri"/>
          <w:color w:val="404040"/>
          <w:sz w:val="22"/>
          <w:szCs w:val="22"/>
        </w:rPr>
        <w:t xml:space="preserve">Discussion produced the following consensus directions for revision before the policy is brought back for a vote:</w:t>
      </w:r>
    </w:p>
    <w:p>
      <w:pPr>
        <w:pStyle w:val="ListParagraph"/>
        <w:numPr>
          <w:ilvl w:val="0"/>
          <w:numId w:val="2"/>
        </w:numPr>
        <w:spacing w:after="60" w:before="0" w:line="276"/>
      </w:pPr>
      <w:r>
        <w:rPr>
          <w:rFonts w:ascii="Calibri" w:cs="Calibri" w:eastAsia="Calibri" w:hAnsi="Calibri"/>
          <w:b/>
          <w:bCs/>
          <w:color w:val="404040"/>
          <w:sz w:val="22"/>
          <w:szCs w:val="22"/>
        </w:rPr>
        <w:t xml:space="preserve">Reframe "vacation" as "time off" / "days off."</w:t>
      </w:r>
      <w:r>
        <w:rPr>
          <w:rFonts w:ascii="Calibri" w:cs="Calibri" w:eastAsia="Calibri" w:hAnsi="Calibri"/>
          <w:color w:val="404040"/>
          <w:sz w:val="22"/>
          <w:szCs w:val="22"/>
        </w:rPr>
        <w:t xml:space="preserve"> Per Dr. Kris Alpi's point, the policy must use language students see in their other school materials; "PTO" (paid time off) has the wrong connotation because some Scholar Year students self-fund and are not paid by an employer. The terminology adopted in the revision should be the school's existing student-facing label for non-attendance days. Dr. Soriano noted that ISMMS uses 5 days per semester (10 days per year) for first- and second-year students under its internal naming.</w:t>
      </w:r>
    </w:p>
    <w:p>
      <w:pPr>
        <w:pStyle w:val="ListParagraph"/>
        <w:numPr>
          <w:ilvl w:val="0"/>
          <w:numId w:val="2"/>
        </w:numPr>
        <w:spacing w:after="60" w:before="0" w:line="276"/>
      </w:pPr>
      <w:r>
        <w:rPr>
          <w:rFonts w:ascii="Calibri" w:cs="Calibri" w:eastAsia="Calibri" w:hAnsi="Calibri"/>
          <w:b/>
          <w:bCs/>
          <w:color w:val="404040"/>
          <w:sz w:val="22"/>
          <w:szCs w:val="22"/>
        </w:rPr>
        <w:t xml:space="preserve">Set the time-off allotment at 10 days,</w:t>
      </w:r>
      <w:r>
        <w:rPr>
          <w:rFonts w:ascii="Calibri" w:cs="Calibri" w:eastAsia="Calibri" w:hAnsi="Calibri"/>
          <w:color w:val="404040"/>
          <w:sz w:val="22"/>
          <w:szCs w:val="22"/>
        </w:rPr>
        <w:t xml:space="preserve"> consistent with the Phase 1 student PTO baseline and with the institutional cadence (2 semesters × 5 days). Dr. Soriano framed this as a defensible alignment with existing student-time-off conventions.</w:t>
      </w:r>
    </w:p>
    <w:p>
      <w:pPr>
        <w:pStyle w:val="ListParagraph"/>
        <w:numPr>
          <w:ilvl w:val="0"/>
          <w:numId w:val="2"/>
        </w:numPr>
        <w:spacing w:after="60" w:before="0" w:line="276"/>
      </w:pPr>
      <w:r>
        <w:rPr>
          <w:rFonts w:ascii="Calibri" w:cs="Calibri" w:eastAsia="Calibri" w:hAnsi="Calibri"/>
          <w:b/>
          <w:bCs/>
          <w:color w:val="404040"/>
          <w:sz w:val="22"/>
          <w:szCs w:val="22"/>
        </w:rPr>
        <w:t xml:space="preserve">Strengthen the school-designated-holidays statement</w:t>
      </w:r>
      <w:r>
        <w:rPr>
          <w:rFonts w:ascii="Calibri" w:cs="Calibri" w:eastAsia="Calibri" w:hAnsi="Calibri"/>
          <w:color w:val="404040"/>
          <w:sz w:val="22"/>
          <w:szCs w:val="22"/>
        </w:rPr>
        <w:t xml:space="preserve"> so that Scholar Year students are explicitly entitled to ISMMS-designated holidays as listed on the academic calendar (where Dr. Soriano noted an asterisk in the linked calendar that distinguishes school-designated holidays). Per Drs. Thomas and Leitman, this matters because ISMMS does not observe certain federal holidays (e.g., Columbus Day, Veterans Day) that the student's host institution may or may not observe.</w:t>
      </w:r>
    </w:p>
    <w:p>
      <w:pPr>
        <w:pStyle w:val="ListParagraph"/>
        <w:numPr>
          <w:ilvl w:val="0"/>
          <w:numId w:val="2"/>
        </w:numPr>
        <w:spacing w:after="60" w:before="0" w:line="276"/>
      </w:pPr>
      <w:r>
        <w:rPr>
          <w:rFonts w:ascii="Calibri" w:cs="Calibri" w:eastAsia="Calibri" w:hAnsi="Calibri"/>
          <w:b/>
          <w:bCs/>
          <w:color w:val="404040"/>
          <w:sz w:val="22"/>
          <w:szCs w:val="22"/>
        </w:rPr>
        <w:t xml:space="preserve">Add deferral language</w:t>
      </w:r>
      <w:r>
        <w:rPr>
          <w:rFonts w:ascii="Calibri" w:cs="Calibri" w:eastAsia="Calibri" w:hAnsi="Calibri"/>
          <w:color w:val="404040"/>
          <w:sz w:val="22"/>
          <w:szCs w:val="22"/>
        </w:rPr>
        <w:t xml:space="preserve"> for students placed at external host institutions (NIH, NYU, Harvard, Cornell, Sarnoff fellowships, etc.): the student should follow the host institution's policy on holidays and time off where the host policy is in effect.</w:t>
      </w:r>
    </w:p>
    <w:p>
      <w:pPr>
        <w:spacing w:after="120" w:before="0" w:line="276"/>
      </w:pPr>
      <w:r>
        <w:rPr>
          <w:rFonts w:ascii="Calibri" w:cs="Calibri" w:eastAsia="Calibri" w:hAnsi="Calibri"/>
          <w:color w:val="404040"/>
          <w:sz w:val="22"/>
          <w:szCs w:val="22"/>
        </w:rPr>
        <w:t xml:space="preserve">Dr. Rojas committed to gathering data from former Scholar Year students at major external host institutions on host-institution time-off practices, in coordination with Dr. Soriano's recommendation; this data will inform the calibration in the revised text.</w:t>
      </w:r>
    </w:p>
    <w:p>
      <w:pPr>
        <w:pStyle w:val="Heading3"/>
        <w:spacing w:after="80" w:before="180"/>
      </w:pPr>
      <w:r>
        <w:rPr>
          <w:rFonts w:ascii="Calibri" w:cs="Calibri" w:eastAsia="Calibri" w:hAnsi="Calibri"/>
          <w:b/>
          <w:bCs/>
          <w:i/>
          <w:iCs/>
          <w:color w:val="404040"/>
          <w:sz w:val="22"/>
          <w:szCs w:val="22"/>
        </w:rPr>
        <w:t xml:space="preserve">Guidelines — Hours Standard for Scholar Year Work</w:t>
      </w:r>
    </w:p>
    <w:p>
      <w:pPr>
        <w:spacing w:after="120" w:before="0" w:line="276"/>
      </w:pPr>
      <w:r>
        <w:rPr>
          <w:rFonts w:ascii="Calibri" w:cs="Calibri" w:eastAsia="Calibri" w:hAnsi="Calibri"/>
          <w:color w:val="404040"/>
          <w:sz w:val="22"/>
          <w:szCs w:val="22"/>
        </w:rPr>
        <w:t xml:space="preserve">Dr. Leitman recommended an addition to the policy text setting the hours standard for the Scholar Year work itself. The recommended framing:</w:t>
      </w:r>
    </w:p>
    <w:p>
      <w:pPr>
        <w:pStyle w:val="ListParagraph"/>
        <w:numPr>
          <w:ilvl w:val="0"/>
          <w:numId w:val="2"/>
        </w:numPr>
        <w:spacing w:after="60" w:before="0" w:line="276"/>
      </w:pPr>
      <w:r>
        <w:rPr>
          <w:rFonts w:ascii="Calibri" w:cs="Calibri" w:eastAsia="Calibri" w:hAnsi="Calibri"/>
          <w:b/>
          <w:bCs/>
          <w:color w:val="404040"/>
          <w:sz w:val="22"/>
          <w:szCs w:val="22"/>
        </w:rPr>
        <w:t xml:space="preserve">Minimum 40 hours per week</w:t>
      </w:r>
      <w:r>
        <w:rPr>
          <w:rFonts w:ascii="Calibri" w:cs="Calibri" w:eastAsia="Calibri" w:hAnsi="Calibri"/>
          <w:color w:val="404040"/>
          <w:sz w:val="22"/>
          <w:szCs w:val="22"/>
        </w:rPr>
        <w:t xml:space="preserve"> (consistent with full-time effort and aligned with the existing 40-hour standard used in the elective form for research electives).</w:t>
      </w:r>
    </w:p>
    <w:p>
      <w:pPr>
        <w:pStyle w:val="ListParagraph"/>
        <w:numPr>
          <w:ilvl w:val="0"/>
          <w:numId w:val="2"/>
        </w:numPr>
        <w:spacing w:after="60" w:before="0" w:line="276"/>
      </w:pPr>
      <w:r>
        <w:rPr>
          <w:rFonts w:ascii="Calibri" w:cs="Calibri" w:eastAsia="Calibri" w:hAnsi="Calibri"/>
          <w:b/>
          <w:bCs/>
          <w:color w:val="404040"/>
          <w:sz w:val="22"/>
          <w:szCs w:val="22"/>
        </w:rPr>
        <w:t xml:space="preserve">Maximum 80 hours per week</w:t>
      </w:r>
      <w:r>
        <w:rPr>
          <w:rFonts w:ascii="Calibri" w:cs="Calibri" w:eastAsia="Calibri" w:hAnsi="Calibri"/>
          <w:color w:val="404040"/>
          <w:sz w:val="22"/>
          <w:szCs w:val="22"/>
        </w:rPr>
        <w:t xml:space="preserve"> (the upper boundary; aligned with general acceptable work-hours practice across the institution; ISMMS does not require discussion of on-call as a separate provision for Scholar Year students).</w:t>
      </w:r>
    </w:p>
    <w:p>
      <w:pPr>
        <w:pStyle w:val="ListParagraph"/>
        <w:numPr>
          <w:ilvl w:val="0"/>
          <w:numId w:val="2"/>
        </w:numPr>
        <w:spacing w:after="60" w:before="0" w:line="276"/>
      </w:pPr>
      <w:r>
        <w:rPr>
          <w:rFonts w:ascii="Calibri" w:cs="Calibri" w:eastAsia="Calibri" w:hAnsi="Calibri"/>
          <w:b/>
          <w:bCs/>
          <w:color w:val="404040"/>
          <w:sz w:val="22"/>
          <w:szCs w:val="22"/>
        </w:rPr>
        <w:t xml:space="preserve">Minimum one day off per 7-day period.</w:t>
      </w:r>
    </w:p>
    <w:p>
      <w:pPr>
        <w:spacing w:after="120" w:before="0" w:line="276"/>
      </w:pPr>
      <w:r>
        <w:rPr>
          <w:rFonts w:ascii="Calibri" w:cs="Calibri" w:eastAsia="Calibri" w:hAnsi="Calibri"/>
          <w:color w:val="404040"/>
          <w:sz w:val="22"/>
          <w:szCs w:val="22"/>
        </w:rPr>
        <w:t xml:space="preserve">Dr. Rojas confirmed that the existing concern from students has been the maximum (where mentor expectations have at times exceeded reasonable limits), not the minimum. The policy will incorporate this framing as a means of giving the student clear language to reference with the mentor.</w:t>
      </w:r>
    </w:p>
    <w:p>
      <w:pPr>
        <w:spacing w:after="120" w:before="0" w:line="276"/>
      </w:pPr>
      <w:r>
        <w:rPr>
          <w:rFonts w:ascii="Calibri" w:cs="Calibri" w:eastAsia="Calibri" w:hAnsi="Calibri"/>
          <w:color w:val="404040"/>
          <w:sz w:val="22"/>
          <w:szCs w:val="22"/>
        </w:rPr>
        <w:t xml:space="preserve">Mr. Babagoli asked whether mentors are aware of the hours standard at the outset of the Scholar Year or whether it surfaces later as a surprise. Dr. Rojas confirmed that, in her experience with prior Scholar Year students, the hours expectation is generally known at the start; the policy's role is to give students standing to push back when expectations escalate beyond the standard.</w:t>
      </w:r>
    </w:p>
    <w:p>
      <w:pPr>
        <w:pStyle w:val="Heading3"/>
        <w:spacing w:after="80" w:before="180"/>
      </w:pPr>
      <w:r>
        <w:rPr>
          <w:rFonts w:ascii="Calibri" w:cs="Calibri" w:eastAsia="Calibri" w:hAnsi="Calibri"/>
          <w:b/>
          <w:bCs/>
          <w:i/>
          <w:iCs/>
          <w:color w:val="404040"/>
          <w:sz w:val="22"/>
          <w:szCs w:val="22"/>
        </w:rPr>
        <w:t xml:space="preserve">Other Guideline Provisions</w:t>
      </w:r>
    </w:p>
    <w:p>
      <w:pPr>
        <w:spacing w:after="120" w:before="0" w:line="276"/>
      </w:pPr>
      <w:r>
        <w:rPr>
          <w:rFonts w:ascii="Calibri" w:cs="Calibri" w:eastAsia="Calibri" w:hAnsi="Calibri"/>
          <w:b/>
          <w:bCs/>
          <w:color w:val="404040"/>
          <w:sz w:val="22"/>
          <w:szCs w:val="22"/>
        </w:rPr>
        <w:t xml:space="preserve">Malpractice insurance.</w:t>
      </w:r>
      <w:r>
        <w:rPr>
          <w:rFonts w:ascii="Calibri" w:cs="Calibri" w:eastAsia="Calibri" w:hAnsi="Calibri"/>
          <w:color w:val="404040"/>
          <w:sz w:val="22"/>
          <w:szCs w:val="22"/>
        </w:rPr>
        <w:t xml:space="preserve"> Students remain covered under ISMMS malpractice insurance whether their work is at Sinai or external, consistent with the matriculated-student-status framing.</w:t>
      </w:r>
    </w:p>
    <w:p>
      <w:pPr>
        <w:spacing w:after="120" w:before="0" w:line="276"/>
      </w:pPr>
      <w:r>
        <w:rPr>
          <w:rFonts w:ascii="Calibri" w:cs="Calibri" w:eastAsia="Calibri" w:hAnsi="Calibri"/>
          <w:b/>
          <w:bCs/>
          <w:color w:val="404040"/>
          <w:sz w:val="22"/>
          <w:szCs w:val="22"/>
        </w:rPr>
        <w:t xml:space="preserve">No early returns.</w:t>
      </w:r>
      <w:r>
        <w:rPr>
          <w:rFonts w:ascii="Calibri" w:cs="Calibri" w:eastAsia="Calibri" w:hAnsi="Calibri"/>
          <w:color w:val="404040"/>
          <w:sz w:val="22"/>
          <w:szCs w:val="22"/>
        </w:rPr>
        <w:t xml:space="preserve"> The policy codifies the practice (in effect for approximately the past five years) that a Scholar Year student cannot return early — e.g., to do away rotations or other curriculum-engaged activities — before the June 30 end of the academic year. Earlier practice that permitted some early returns was discontinued on equity grounds (fairness to students who could not afford to take a Scholar Year).</w:t>
      </w:r>
    </w:p>
    <w:p>
      <w:pPr>
        <w:spacing w:after="120" w:before="0" w:line="276"/>
      </w:pPr>
      <w:r>
        <w:rPr>
          <w:rFonts w:ascii="Calibri" w:cs="Calibri" w:eastAsia="Calibri" w:hAnsi="Calibri"/>
          <w:b/>
          <w:bCs/>
          <w:color w:val="404040"/>
          <w:sz w:val="22"/>
          <w:szCs w:val="22"/>
        </w:rPr>
        <w:t xml:space="preserve">Internal and external placement.</w:t>
      </w:r>
      <w:r>
        <w:rPr>
          <w:rFonts w:ascii="Calibri" w:cs="Calibri" w:eastAsia="Calibri" w:hAnsi="Calibri"/>
          <w:color w:val="404040"/>
          <w:sz w:val="22"/>
          <w:szCs w:val="22"/>
        </w:rPr>
        <w:t xml:space="preserve"> Students may pursue their Scholar Year at Sinai or at an external institution (academic or research). Most students complete the year at Sinai, but a substantive minority go to NIH, peer academic medical centers, or international institutions.</w:t>
      </w:r>
    </w:p>
    <w:p>
      <w:pPr>
        <w:pStyle w:val="Heading3"/>
        <w:spacing w:after="80" w:before="180"/>
      </w:pPr>
      <w:r>
        <w:rPr>
          <w:rFonts w:ascii="Calibri" w:cs="Calibri" w:eastAsia="Calibri" w:hAnsi="Calibri"/>
          <w:b/>
          <w:bCs/>
          <w:i/>
          <w:iCs/>
          <w:color w:val="404040"/>
          <w:sz w:val="22"/>
          <w:szCs w:val="22"/>
        </w:rPr>
        <w:t xml:space="preserve">Vote — Scholar Year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undefined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undefined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undefined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undefined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undefined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undefined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undefined</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Vote deferred.</w:t>
      </w:r>
      <w:r>
        <w:rPr>
          <w:rFonts w:ascii="Calibri" w:cs="Calibri" w:eastAsia="Calibri" w:hAnsi="Calibri"/>
          <w:color w:val="404040"/>
          <w:sz w:val="22"/>
          <w:szCs w:val="22"/>
        </w:rPr>
        <w:t xml:space="preserve"> The revised Scholar Year Policy will be brought back to the EOC at the next scheduled meeting (March 7, 2025) for a formal vote. Dr. Rojas will (i) revise the time-off section to use ISMMS student-facing terminology and to set the allotment at 10 days; (ii) strengthen the school-designated-holidays statement and add host-institution-deferral language; (iii) incorporate the 40-hour minimum / 80-hour maximum / one-day-off-per-week hours standard per Dr. M. Leitman's recommendation; and (iv) contact former Scholar Year students placed at external host institutions to confirm host-institution time-off practices and inform the policy calibration.</w:t>
      </w:r>
    </w:p>
    <w:p>
      <w:pPr>
        <w:pStyle w:val="Heading1"/>
        <w:pBdr>
          <w:bottom w:val="single" w:color="1F3A5F" w:sz="8" w:space="4"/>
        </w:pBdr>
        <w:spacing w:after="160" w:before="320"/>
      </w:pPr>
      <w:r>
        <w:rPr>
          <w:rFonts w:ascii="Calibri" w:cs="Calibri" w:eastAsia="Calibri" w:hAnsi="Calibri"/>
          <w:b/>
          <w:bCs/>
          <w:color w:val="1F3A5F"/>
          <w:sz w:val="28"/>
          <w:szCs w:val="28"/>
        </w:rPr>
        <w:t xml:space="preserve">7. Summary of Action Items</w:t>
      </w:r>
    </w:p>
    <w:p>
      <w:pPr>
        <w:spacing w:after="120" w:before="0" w:line="276"/>
      </w:pPr>
      <w:r>
        <w:rPr>
          <w:rFonts w:ascii="Calibri" w:cs="Calibri" w:eastAsia="Calibri" w:hAnsi="Calibri"/>
          <w:color w:val="404040"/>
          <w:sz w:val="22"/>
          <w:szCs w:val="22"/>
        </w:rPr>
        <w:t xml:space="preserve">Action items arising from this meeting are recorded in Appendix A (combined action register) at the end of these minutes. The register is the primary documentation record and is updated at each subsequent meeting as items are implemented and closed.</w:t>
      </w:r>
    </w:p>
    <w:p>
      <w:pPr>
        <w:pStyle w:val="Heading1"/>
        <w:pBdr>
          <w:bottom w:val="single" w:color="1F3A5F" w:sz="8" w:space="4"/>
        </w:pBdr>
        <w:spacing w:after="160" w:before="320"/>
      </w:pPr>
      <w:r>
        <w:rPr>
          <w:rFonts w:ascii="Calibri" w:cs="Calibri" w:eastAsia="Calibri" w:hAnsi="Calibri"/>
          <w:b/>
          <w:bCs/>
          <w:color w:val="1F3A5F"/>
          <w:sz w:val="28"/>
          <w:szCs w:val="28"/>
        </w:rPr>
        <w:t xml:space="preserve">8. Next Meeting and Adjournment</w:t>
      </w:r>
    </w:p>
    <w:p>
      <w:pPr>
        <w:spacing w:after="120"/>
      </w:pPr>
      <w:r>
        <w:rPr>
          <w:rFonts w:ascii="Calibri" w:cs="Calibri" w:eastAsia="Calibri" w:hAnsi="Calibri"/>
          <w:b/>
          <w:bCs/>
          <w:color w:val="1F3A5F"/>
          <w:sz w:val="22"/>
          <w:szCs w:val="22"/>
        </w:rPr>
        <w:t xml:space="preserve">Adjournment: </w:t>
      </w:r>
      <w:r>
        <w:rPr>
          <w:rFonts w:ascii="Calibri" w:cs="Calibri" w:eastAsia="Calibri" w:hAnsi="Calibri"/>
          <w:color w:val="404040"/>
          <w:sz w:val="22"/>
          <w:szCs w:val="22"/>
        </w:rPr>
        <w:t xml:space="preserve">There being no further items raised when invited by the Acting Chair, and approximately 12 minutes remaining on the scheduled meeting block, the Acting Chair thanked members for their participation, returned the remaining time to them, and confirmed the next scheduled EOC meeting in two weeks (March 7, 2025). The Acting Chair declared the meeting adjourned.</w:t>
      </w:r>
    </w:p>
    <w:p>
      <w:pPr>
        <w:spacing w:after="120"/>
      </w:pPr>
      <w:r>
        <w:rPr>
          <w:rFonts w:ascii="Calibri" w:cs="Calibri" w:eastAsia="Calibri" w:hAnsi="Calibri"/>
          <w:b/>
          <w:bCs/>
          <w:color w:val="1F3A5F"/>
          <w:sz w:val="22"/>
          <w:szCs w:val="22"/>
        </w:rPr>
        <w:t xml:space="preserve">Next Scheduled Meeting: </w:t>
      </w:r>
      <w:r>
        <w:rPr>
          <w:rFonts w:ascii="Calibri" w:cs="Calibri" w:eastAsia="Calibri" w:hAnsi="Calibri"/>
          <w:color w:val="404040"/>
          <w:sz w:val="22"/>
          <w:szCs w:val="22"/>
        </w:rPr>
        <w:t xml:space="preserve">March 7, 2025 — revised Scholar Year Policy for vote</w:t>
      </w:r>
    </w:p>
    <w:p>
      <w:pPr>
        <w:pStyle w:val="Heading1"/>
        <w:pBdr>
          <w:bottom w:val="single" w:color="1F3A5F" w:sz="8" w:space="4"/>
        </w:pBdr>
        <w:spacing w:after="160" w:before="320"/>
      </w:pPr>
      <w:r>
        <w:rPr>
          <w:rFonts w:ascii="Calibri" w:cs="Calibri" w:eastAsia="Calibri" w:hAnsi="Calibri"/>
          <w:b/>
          <w:bCs/>
          <w:color w:val="1F3A5F"/>
          <w:sz w:val="28"/>
          <w:szCs w:val="28"/>
        </w:rPr>
        <w:t xml:space="preserve">9. Attestation</w:t>
      </w:r>
    </w:p>
    <w:p>
      <w:pPr>
        <w:spacing w:after="120" w:before="0" w:line="276"/>
      </w:pPr>
      <w:r>
        <w:rPr>
          <w:rFonts w:ascii="Calibri" w:cs="Calibri" w:eastAsia="Calibri" w:hAnsi="Calibri"/>
          <w:color w:val="404040"/>
          <w:sz w:val="22"/>
          <w:szCs w:val="22"/>
        </w:rPr>
        <w:t xml:space="preserve">These minutes are submitted as an accurate record of the proceedings of the Executive Oversight Committee on February 21, 2025. Minutes are prepared in alignment with LCME Element 8.1 (Curricular Management) documentation expectations and are subject to formal approval by the EOC at its next regular meeting.</w:t>
      </w:r>
    </w:p>
    <w:p>
      <w:pPr>
        <w:spacing w:after="120" w:before="0" w:line="276"/>
      </w:pPr>
    </w:p>
    <w:p>
      <w:pPr>
        <w:spacing w:after="60"/>
      </w:pPr>
      <w:r>
        <w:rPr>
          <w:rFonts w:ascii="Calibri" w:cs="Calibri" w:eastAsia="Calibri" w:hAnsi="Calibri"/>
          <w:b/>
          <w:bCs/>
          <w:color w:val="1F3A5F"/>
          <w:sz w:val="22"/>
          <w:szCs w:val="22"/>
        </w:rPr>
        <w:t xml:space="preserve">Submitted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Recording Secretary, Executive Oversight Committee</w:t>
      </w:r>
    </w:p>
    <w:p>
      <w:pPr>
        <w:spacing w:after="120" w:before="0" w:line="276"/>
      </w:pPr>
    </w:p>
    <w:p>
      <w:pPr>
        <w:spacing w:after="60"/>
      </w:pPr>
      <w:r>
        <w:rPr>
          <w:rFonts w:ascii="Calibri" w:cs="Calibri" w:eastAsia="Calibri" w:hAnsi="Calibri"/>
          <w:b/>
          <w:bCs/>
          <w:color w:val="1F3A5F"/>
          <w:sz w:val="22"/>
          <w:szCs w:val="22"/>
        </w:rPr>
        <w:t xml:space="preserve">Approved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Robert Fallar — Chair, Executive Oversight Committee</w:t>
      </w:r>
    </w:p>
    <w:p>
      <w:pPr>
        <w:spacing w:after="120" w:before="0" w:line="276"/>
      </w:pPr>
    </w:p>
    <w:p>
      <w:pPr>
        <w:spacing w:after="60"/>
      </w:pPr>
      <w:r>
        <w:rPr>
          <w:rFonts w:ascii="Calibri" w:cs="Calibri" w:eastAsia="Calibri" w:hAnsi="Calibri"/>
          <w:b/>
          <w:bCs/>
          <w:color w:val="1F3A5F"/>
          <w:sz w:val="22"/>
          <w:szCs w:val="22"/>
        </w:rPr>
        <w:t xml:space="preserve">Date of Approval: </w:t>
      </w:r>
      <w:r>
        <w:rPr>
          <w:rFonts w:ascii="Calibri" w:cs="Calibri" w:eastAsia="Calibri" w:hAnsi="Calibri"/>
          <w:color w:val="404040"/>
          <w:sz w:val="22"/>
          <w:szCs w:val="22"/>
        </w:rPr>
        <w:t xml:space="preserve">____________________</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A5F" w:sz="8" w:space="4"/>
        </w:pBdr>
        <w:spacing w:after="160" w:before="320"/>
      </w:pPr>
      <w:r>
        <w:rPr>
          <w:rFonts w:ascii="Calibri" w:cs="Calibri" w:eastAsia="Calibri" w:hAnsi="Calibri"/>
          <w:b/>
          <w:bCs/>
          <w:color w:val="1F3A5F"/>
          <w:sz w:val="28"/>
          <w:szCs w:val="28"/>
        </w:rPr>
        <w:t xml:space="preserve">Appendix A — EOC Combined Action Register</w:t>
      </w:r>
    </w:p>
    <w:p>
      <w:pPr>
        <w:spacing w:after="120" w:before="0" w:line="276"/>
      </w:pPr>
      <w:r>
        <w:rPr>
          <w:rFonts w:ascii="Calibri" w:cs="Calibri" w:eastAsia="Calibri" w:hAnsi="Calibri"/>
          <w:color w:val="404040"/>
          <w:sz w:val="22"/>
          <w:szCs w:val="22"/>
        </w:rPr>
        <w:t xml:space="preserve">This register records all action items arising from the meeting, both educational and operational. It is carried forward at each meeting and updated as items are implemented and closed.</w:t>
      </w:r>
    </w:p>
    <w:p>
      <w:pPr>
        <w:spacing w:after="120" w:before="0" w:line="276"/>
      </w:pPr>
      <w:r>
        <w:rPr>
          <w:rFonts w:ascii="Calibri" w:cs="Calibri" w:eastAsia="Calibri" w:hAnsi="Calibri"/>
          <w:i/>
          <w:iCs/>
          <w:color w:val="404040"/>
          <w:sz w:val="22"/>
          <w:szCs w:val="22"/>
        </w:rPr>
        <w:t xml:space="preserve">Status key:  OPEN (action initiated)  •  IN PROGRESS (work underway)  •  CLOSED (12-month follow-up complete)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500"/>
        <w:gridCol w:w="1700"/>
        <w:gridCol w:w="1100"/>
        <w:gridCol w:w="18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Action</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Description</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LCME Element(s)</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Due / Return</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Status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Closed-Loop Determination</w:t>
            </w: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FEBRUARY 21, 2025  —  Scholar Year Policy (Item 6.2; Vote Deferred)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Scholar Year Policy — Revisions Required Before Vote at the Next EOC Meeting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Revise the proposed Scholar Year Policy to incorporate the consensus directions from this meeting before bringing it back for a formal vote at the March 7, 2025 EOC meeting. Specifically: (i) reframe "vacation" as ISMMS student-facing "time off" language (avoiding "PTO" as a label given that some Scholar Year students self-fund and are not paid); (ii) set the time-off allotment at 10 days, aligned with the Phase 1 student PTO baseline (5 days × 2 semesters); (iii) strengthen the school-designated-holidays statement so that Scholar Year students are explicitly entitled to ISMMS academic-calendar holidays; (iv) add deferral language for students placed at external host institutions (NIH, NYU, Harvard, Cornell, Sarnoff fellowships, others), specifying that the host institution's holidays/time-off policy governs where in effect; (v) incorporate the hours standard — 40 hours/week minimum, 80 hours/week maximum, at least one day off per 7-day period — per Dr. M. Leitman's recommendation; and (vi) consider Mr. Babagoli's framing on mentor-mentee agreement clarity at the outset of the Scholar Year.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 Rojas, EdD</w:t>
            </w:r>
          </w:p>
          <w:p>
            <w:pPr>
              <w:spacing w:after="40" w:before="40" w:line="276"/>
            </w:pPr>
            <w:r>
              <w:rPr>
                <w:rFonts w:ascii="Calibri" w:cs="Calibri" w:eastAsia="Calibri" w:hAnsi="Calibri"/>
                <w:color w:val="404040"/>
                <w:sz w:val="22"/>
                <w:szCs w:val="22"/>
              </w:rPr>
              <w:t xml:space="preserve">MSRO Team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6.5 / 11.1 / 12.1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March 7, 2025 EOC meeting</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Scholar Year Policy — Host-Institution Time-Off Survey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Per Dr. R. Soriano's recommendation, contact former Scholar Year students (last 2+ cohorts) who completed their Scholar Year at external host institutions (NIH, peer academic medical centers, Sarnoff Cardiovascular Research Foundation, others) to confirm host-institution time-off and holiday policies. Use the results to inform the policy's deferral-language calibration before the March 7, 2025 vote.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 Rojas, EdD</w:t>
            </w:r>
          </w:p>
          <w:p>
            <w:pPr>
              <w:spacing w:after="40" w:before="40" w:line="276"/>
            </w:pPr>
            <w:r>
              <w:rPr>
                <w:rFonts w:ascii="Calibri" w:cs="Calibri" w:eastAsia="Calibri" w:hAnsi="Calibri"/>
                <w:color w:val="404040"/>
                <w:sz w:val="22"/>
                <w:szCs w:val="22"/>
              </w:rPr>
              <w:t xml:space="preserve">MSRO Team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6.5 / 1.1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March 7, 2025 EOC meeting</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Scholar Year Policy — Mentor–Mentee Agreement Form Update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Update the Scholar Year mentor–mentee agreement form so that mentors, on sign-off as a scholarly mentor, explicitly acknowledge the student's entitlement to (i) the time-off allotment (per the revised policy text); (ii) the clinical-hours cap (no more than ~8 hours/week or ~32 hours/month of clinical activity unrelated to the scholarly project); and (iii) the hours standard (40-hour minimum, 80-hour maximum, one day off per 7-day period). This responds to student feedback that mentor awareness of student entitlements is a principal concern.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 Rojas, EdD</w:t>
            </w:r>
          </w:p>
          <w:p>
            <w:pPr>
              <w:spacing w:after="40" w:before="40" w:line="276"/>
            </w:pPr>
            <w:r>
              <w:rPr>
                <w:rFonts w:ascii="Calibri" w:cs="Calibri" w:eastAsia="Calibri" w:hAnsi="Calibri"/>
                <w:color w:val="404040"/>
                <w:sz w:val="22"/>
                <w:szCs w:val="22"/>
              </w:rPr>
              <w:t xml:space="preserve">MSRO Team</w:t>
            </w:r>
          </w:p>
          <w:p>
            <w:pPr>
              <w:spacing w:after="40" w:before="40" w:line="276"/>
            </w:pPr>
            <w:r>
              <w:rPr>
                <w:rFonts w:ascii="Calibri" w:cs="Calibri" w:eastAsia="Calibri" w:hAnsi="Calibri"/>
                <w:color w:val="404040"/>
                <w:sz w:val="22"/>
                <w:szCs w:val="22"/>
              </w:rPr>
              <w:t xml:space="preserve">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11.1 / 9.1 / 6.5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By start of AY 2025–2026 Scholar Year application cycle</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FEBRUARY 21, 2025  —  EOC Operating Practice (Pre-Meeting Clarification)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EOC Policy-Review Scope — Document Operating Convention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Document, as part of the EOC's standing operating practice, the convention raised by Dr. M. Rojas at the opening of this meeting: when a policy is brought to the EOC, the EOC's authority is to review and approve the </w:t>
            </w:r>
            <w:r>
              <w:rPr>
                <w:rFonts w:ascii="Calibri" w:cs="Calibri" w:eastAsia="Calibri" w:hAnsi="Calibri"/>
                <w:b/>
                <w:bCs/>
                <w:color w:val="404040"/>
                <w:sz w:val="22"/>
                <w:szCs w:val="22"/>
              </w:rPr>
              <w:t xml:space="preserve">policy</w:t>
            </w:r>
            <w:r>
              <w:rPr>
                <w:rFonts w:ascii="Calibri" w:cs="Calibri" w:eastAsia="Calibri" w:hAnsi="Calibri"/>
                <w:color w:val="404040"/>
                <w:sz w:val="22"/>
                <w:szCs w:val="22"/>
              </w:rPr>
              <w:t xml:space="preserve"> itself; the operational procedures that implement the policy are managed by the relevant administrative office. When policies are circulated for EOC review, the policy portion (not the procedures) should be the package distributed in advance. This convention is consistent with the EOC's scope under the curriculum-governance framework.</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M. Francis, MD</w:t>
            </w:r>
          </w:p>
          <w:p>
            <w:pPr>
              <w:spacing w:after="40" w:before="40" w:line="276"/>
            </w:pPr>
            <w:r>
              <w:rPr>
                <w:rFonts w:ascii="Calibri" w:cs="Calibri" w:eastAsia="Calibri" w:hAnsi="Calibri"/>
                <w:color w:val="404040"/>
                <w:sz w:val="22"/>
                <w:szCs w:val="22"/>
              </w:rPr>
              <w:t xml:space="preserve">R. Fallar, PhD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1.4 / 8.1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AY 2024–2025 (incorporation into EOC operating documentation)</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FEBRUARY 21, 2025  —  Standing Items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Next EOC Meeting — March 7, 2025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Calendar the next EOC meeting for Friday, March 7, 2025. The principal agenda item will be the revised Scholar Year Policy for a formal vote.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 Francis, MD</w:t>
            </w:r>
          </w:p>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F. Shafiq (Recording Secretary)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March 7, 2025 EOC meeting</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bl>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February 21, 2025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February 21,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Un-named</cp:lastModifiedBy>
  <cp:revision>1</cp:revision>
  <dcterms:created xsi:type="dcterms:W3CDTF">2026-05-25T15:58:01.428Z</dcterms:created>
  <dcterms:modified xsi:type="dcterms:W3CDTF">2026-05-25T15:58:01.428Z</dcterms:modified>
</cp:coreProperties>
</file>

<file path=docProps/custom.xml><?xml version="1.0" encoding="utf-8"?>
<Properties xmlns="http://schemas.openxmlformats.org/officeDocument/2006/custom-properties" xmlns:vt="http://schemas.openxmlformats.org/officeDocument/2006/docPropsVTypes"/>
</file>