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August 22,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August 22, 2025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12:48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(see Section 2 for detail)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documentation expectations, with voting members, ex officio (non-voting) members, CA Leadership, operations staff, and guests reported separately.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Eric Kutscher, MD — Faculty Educator at Large</w:t>
      </w:r>
    </w:p>
    <w:p>
      <w:pPr>
        <w:pStyle w:val="ListParagraph"/>
        <w:numPr>
          <w:ilvl w:val="0"/>
          <w:numId w:val="2"/>
        </w:numPr>
        <w:spacing w:after="60"/>
      </w:pPr>
      <w:r>
        <w:rPr>
          <w:rFonts w:ascii="Calibri" w:cs="Calibri" w:eastAsia="Calibri" w:hAnsi="Calibri"/>
          <w:sz w:val="22"/>
          <w:szCs w:val="22"/>
        </w:rPr>
        <w:t xml:space="preserve">Kyunghyun Lee, MD — Faculty Educator at Large</w:t>
      </w:r>
    </w:p>
    <w:p>
      <w:pPr>
        <w:pStyle w:val="ListParagraph"/>
        <w:numPr>
          <w:ilvl w:val="0"/>
          <w:numId w:val="2"/>
        </w:numPr>
        <w:spacing w:after="60"/>
      </w:pPr>
      <w:r>
        <w:rPr>
          <w:rFonts w:ascii="Calibri" w:cs="Calibri" w:eastAsia="Calibri" w:hAnsi="Calibri"/>
          <w:sz w:val="22"/>
          <w:szCs w:val="22"/>
        </w:rPr>
        <w:t xml:space="preserve">Richard Stern, MD — Faculty Educator at Large (audio-only; reported microphone difficulty)</w:t>
      </w:r>
    </w:p>
    <w:p>
      <w:pPr>
        <w:pStyle w:val="ListParagraph"/>
        <w:numPr>
          <w:ilvl w:val="0"/>
          <w:numId w:val="2"/>
        </w:numPr>
        <w:spacing w:after="60"/>
      </w:pPr>
      <w:r>
        <w:rPr>
          <w:rFonts w:ascii="Calibri" w:cs="Calibri" w:eastAsia="Calibri" w:hAnsi="Calibri"/>
          <w:sz w:val="22"/>
          <w:szCs w:val="22"/>
        </w:rPr>
        <w:t xml:space="preserve">Tonia Kim, MD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Jamie Frost — Student Representative, M3 (Phase 2 / Phase 3)</w:t>
      </w:r>
    </w:p>
    <w:p>
      <w:pPr>
        <w:pStyle w:val="Heading2"/>
      </w:pPr>
      <w:r>
        <w:rPr>
          <w:rFonts w:ascii="Calibri" w:cs="Calibri" w:eastAsia="Calibri" w:hAnsi="Calibri"/>
        </w:rPr>
        <w:t xml:space="preserve">Voting Members Absent</w:t>
      </w:r>
    </w:p>
    <w:p>
      <w:pPr>
        <w:pStyle w:val="ListParagraph"/>
        <w:numPr>
          <w:ilvl w:val="0"/>
          <w:numId w:val="2"/>
        </w:numPr>
        <w:spacing w:after="60"/>
      </w:pPr>
      <w:r>
        <w:rPr>
          <w:rFonts w:ascii="Calibri" w:cs="Calibri" w:eastAsia="Calibri" w:hAnsi="Calibri"/>
          <w:sz w:val="22"/>
          <w:szCs w:val="22"/>
        </w:rPr>
        <w:t xml:space="preserve">Ganesh Gunasekaran, MD — Faculty Educator at Large</w:t>
      </w:r>
    </w:p>
    <w:p>
      <w:pPr>
        <w:pStyle w:val="ListParagraph"/>
        <w:numPr>
          <w:ilvl w:val="0"/>
          <w:numId w:val="2"/>
        </w:numPr>
        <w:spacing w:after="60"/>
      </w:pPr>
      <w:r>
        <w:rPr>
          <w:rFonts w:ascii="Calibri" w:cs="Calibri" w:eastAsia="Calibri" w:hAnsi="Calibri"/>
          <w:sz w:val="22"/>
          <w:szCs w:val="22"/>
        </w:rPr>
        <w:t xml:space="preserve">Arvind Kamthan, MD — Faculty Educator at Large</w:t>
      </w:r>
    </w:p>
    <w:p>
      <w:pPr>
        <w:pStyle w:val="ListParagraph"/>
        <w:numPr>
          <w:ilvl w:val="0"/>
          <w:numId w:val="2"/>
        </w:numPr>
        <w:spacing w:after="60"/>
      </w:pPr>
      <w:r>
        <w:rPr>
          <w:rFonts w:ascii="Calibri" w:cs="Calibri" w:eastAsia="Calibri" w:hAnsi="Calibri"/>
          <w:sz w:val="22"/>
          <w:szCs w:val="22"/>
        </w:rPr>
        <w:t xml:space="preserve">Brian Rice, MD — Faculty Educator at Large</w:t>
      </w:r>
    </w:p>
    <w:p>
      <w:pPr>
        <w:pStyle w:val="ListParagraph"/>
        <w:numPr>
          <w:ilvl w:val="0"/>
          <w:numId w:val="2"/>
        </w:numPr>
        <w:spacing w:after="60"/>
      </w:pPr>
      <w:r>
        <w:rPr>
          <w:rFonts w:ascii="Calibri" w:cs="Calibri" w:eastAsia="Calibri" w:hAnsi="Calibri"/>
          <w:sz w:val="22"/>
          <w:szCs w:val="22"/>
        </w:rPr>
        <w:t xml:space="preserve">Jessica Reid-Adam, MD — Faculty Educator at Large</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Alexandros Polydorides, MD, PhD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Eve Merrill, MD — Faculty Curricular Leader (Clerkship Director)</w:t>
      </w:r>
    </w:p>
    <w:p>
      <w:pPr>
        <w:pStyle w:val="ListParagraph"/>
        <w:numPr>
          <w:ilvl w:val="0"/>
          <w:numId w:val="2"/>
        </w:numPr>
        <w:spacing w:after="60"/>
      </w:pPr>
      <w:r>
        <w:rPr>
          <w:rFonts w:ascii="Calibri" w:cs="Calibri" w:eastAsia="Calibri" w:hAnsi="Calibri"/>
          <w:sz w:val="22"/>
          <w:szCs w:val="22"/>
        </w:rPr>
        <w:t xml:space="preserve">Cynthia Abraham, MD — Faculty Curricular Leader (Clerkship Director)</w:t>
      </w:r>
    </w:p>
    <w:p>
      <w:pPr>
        <w:pStyle w:val="ListParagraph"/>
        <w:numPr>
          <w:ilvl w:val="0"/>
          <w:numId w:val="2"/>
        </w:numPr>
        <w:spacing w:after="60"/>
      </w:pPr>
      <w:r>
        <w:rPr>
          <w:rFonts w:ascii="Calibri" w:cs="Calibri" w:eastAsia="Calibri" w:hAnsi="Calibri"/>
          <w:sz w:val="22"/>
          <w:szCs w:val="22"/>
        </w:rPr>
        <w:t xml:space="preserve">Craig Katz, MD — Career and Professional Development Advisor</w:t>
      </w:r>
    </w:p>
    <w:p>
      <w:pPr>
        <w:pStyle w:val="ListParagraph"/>
        <w:numPr>
          <w:ilvl w:val="0"/>
          <w:numId w:val="2"/>
        </w:numPr>
        <w:spacing w:after="60"/>
      </w:pPr>
      <w:r>
        <w:rPr>
          <w:rFonts w:ascii="Calibri" w:cs="Calibri" w:eastAsia="Calibri" w:hAnsi="Calibri"/>
          <w:sz w:val="22"/>
          <w:szCs w:val="22"/>
        </w:rPr>
        <w:t xml:space="preserve">Vannita Simma-Chiang, MD — Specialty Advisor</w:t>
      </w:r>
    </w:p>
    <w:p>
      <w:pPr>
        <w:pStyle w:val="ListParagraph"/>
        <w:numPr>
          <w:ilvl w:val="0"/>
          <w:numId w:val="2"/>
        </w:numPr>
        <w:spacing w:after="60"/>
      </w:pPr>
      <w:r>
        <w:rPr>
          <w:rFonts w:ascii="Calibri" w:cs="Calibri" w:eastAsia="Calibri" w:hAnsi="Calibri"/>
          <w:sz w:val="22"/>
          <w:szCs w:val="22"/>
        </w:rPr>
        <w:t xml:space="preserve">Alan Zhang — Student Representative, M2 (Phase 1 / Phase 2) (referenced during the meeting; noted as the student class most directly affected by the agenda topic but unable to attend)</w:t>
      </w:r>
    </w:p>
    <w:p>
      <w:pPr>
        <w:pStyle w:val="ListParagraph"/>
        <w:numPr>
          <w:ilvl w:val="0"/>
          <w:numId w:val="2"/>
        </w:numPr>
        <w:spacing w:after="60"/>
      </w:pPr>
      <w:r>
        <w:rPr>
          <w:rFonts w:ascii="Calibri" w:cs="Calibri" w:eastAsia="Calibri" w:hAnsi="Calibri"/>
          <w:sz w:val="22"/>
          <w:szCs w:val="22"/>
        </w:rPr>
        <w:t xml:space="preserve">Farimata Mbaye — Student Representative, M4 (Phase 3)</w:t>
      </w:r>
    </w:p>
    <w:p>
      <w:pPr>
        <w:pStyle w:val="ListParagraph"/>
        <w:numPr>
          <w:ilvl w:val="0"/>
          <w:numId w:val="2"/>
        </w:numPr>
        <w:spacing w:after="60"/>
      </w:pPr>
      <w:r>
        <w:rPr>
          <w:rFonts w:ascii="Calibri" w:cs="Calibri" w:eastAsia="Calibri" w:hAnsi="Calibri"/>
          <w:sz w:val="22"/>
          <w:szCs w:val="22"/>
        </w:rPr>
        <w:t xml:space="preserve">Phase 1 (M1) Student Representative — vacant (TBA at the time of the meeting)</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transcript does not distinguish between excused and unexcused absences. Where this distinction is required for accreditation purposes, committee records of advance notification should be consulted to complete this designation.</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Shashi Anand, MEd — Associate Dean for UME Affairs (Administrative Lead)</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Robert Fallar, PhD — Associate Dean for Assessment and Evaluation (co-presenter, Item 6.1)</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 and Recruitment</w:t>
      </w:r>
    </w:p>
    <w:p>
      <w:pPr>
        <w:pStyle w:val="ListParagraph"/>
        <w:numPr>
          <w:ilvl w:val="0"/>
          <w:numId w:val="2"/>
        </w:numPr>
        <w:spacing w:after="60"/>
      </w:pPr>
      <w:r>
        <w:rPr>
          <w:rFonts w:ascii="Calibri" w:cs="Calibri" w:eastAsia="Calibri" w:hAnsi="Calibri"/>
          <w:sz w:val="22"/>
          <w:szCs w:val="22"/>
        </w:rPr>
        <w:t xml:space="preserve">Barbara Masi, PhD — Director of Quality, Compliance, and Accreditation</w:t>
      </w:r>
    </w:p>
    <w:p>
      <w:pPr>
        <w:pStyle w:val="Heading2"/>
      </w:pPr>
      <w:r>
        <w:rPr>
          <w:rFonts w:ascii="Calibri" w:cs="Calibri" w:eastAsia="Calibri" w:hAnsi="Calibri"/>
        </w:rPr>
        <w:t xml:space="preserve">CA Leadership Present (Non-Voting)</w:t>
      </w:r>
    </w:p>
    <w:p>
      <w:pPr>
        <w:pStyle w:val="ListParagraph"/>
        <w:numPr>
          <w:ilvl w:val="0"/>
          <w:numId w:val="2"/>
        </w:numPr>
        <w:spacing w:after="60"/>
      </w:pPr>
      <w:r>
        <w:rPr>
          <w:rFonts w:ascii="Calibri" w:cs="Calibri" w:eastAsia="Calibri" w:hAnsi="Calibri"/>
          <w:sz w:val="22"/>
          <w:szCs w:val="22"/>
        </w:rPr>
        <w:t xml:space="preserve">Christopher Strother, MD — Chair, Clinical Competency Subcommittee (lead presenter, Item 6.1)</w:t>
      </w:r>
    </w:p>
    <w:p>
      <w:pPr>
        <w:pStyle w:val="Heading2"/>
      </w:pPr>
      <w:r>
        <w:rPr>
          <w:rFonts w:ascii="Calibri" w:cs="Calibri" w:eastAsia="Calibri" w:hAnsi="Calibri"/>
        </w:rPr>
        <w:t xml:space="preserve">Operations Staff Present (Non-Voting)</w:t>
      </w:r>
    </w:p>
    <w:p>
      <w:pPr>
        <w:pStyle w:val="ListParagraph"/>
        <w:numPr>
          <w:ilvl w:val="0"/>
          <w:numId w:val="2"/>
        </w:numPr>
        <w:spacing w:after="60"/>
      </w:pPr>
      <w:r>
        <w:rPr>
          <w:rFonts w:ascii="Calibri" w:cs="Calibri" w:eastAsia="Calibri" w:hAnsi="Calibri"/>
          <w:sz w:val="22"/>
          <w:szCs w:val="22"/>
        </w:rPr>
        <w:t xml:space="preserve">Fatima Shafiq — Project Manager, Curricular Affairs</w:t>
      </w:r>
    </w:p>
    <w:p>
      <w:pPr>
        <w:pStyle w:val="Heading2"/>
      </w:pPr>
      <w:r>
        <w:rPr>
          <w:rFonts w:ascii="Calibri" w:cs="Calibri" w:eastAsia="Calibri" w:hAnsi="Calibri"/>
        </w:rPr>
        <w:t xml:space="preserve">Ex Officio and CA Leadership Members Not Present</w:t>
      </w:r>
    </w:p>
    <w:p>
      <w:pPr>
        <w:pStyle w:val="ListParagraph"/>
        <w:numPr>
          <w:ilvl w:val="0"/>
          <w:numId w:val="2"/>
        </w:numPr>
        <w:spacing w:after="60"/>
      </w:pPr>
      <w:r>
        <w:rPr>
          <w:rFonts w:ascii="Calibri" w:cs="Calibri" w:eastAsia="Calibri" w:hAnsi="Calibri"/>
          <w:sz w:val="22"/>
          <w:szCs w:val="22"/>
        </w:rPr>
        <w:t xml:space="preserve">David C. Thomas, MD, MHPE — Dean for Medical Education</w:t>
      </w:r>
    </w:p>
    <w:p>
      <w:pPr>
        <w:pStyle w:val="ListParagraph"/>
        <w:numPr>
          <w:ilvl w:val="0"/>
          <w:numId w:val="2"/>
        </w:numPr>
        <w:spacing w:after="60"/>
      </w:pPr>
      <w:r>
        <w:rPr>
          <w:rFonts w:ascii="Calibri" w:cs="Calibri" w:eastAsia="Calibri" w:hAnsi="Calibri"/>
          <w:sz w:val="22"/>
          <w:szCs w:val="22"/>
        </w:rPr>
        <w:t xml:space="preserve">Steve Paik — Senior Associate Dean for Student Affairs</w:t>
      </w:r>
    </w:p>
    <w:p>
      <w:pPr>
        <w:pStyle w:val="ListParagraph"/>
        <w:numPr>
          <w:ilvl w:val="0"/>
          <w:numId w:val="2"/>
        </w:numPr>
        <w:spacing w:after="60"/>
      </w:pPr>
      <w:r>
        <w:rPr>
          <w:rFonts w:ascii="Calibri" w:cs="Calibri" w:eastAsia="Calibri" w:hAnsi="Calibri"/>
          <w:sz w:val="22"/>
          <w:szCs w:val="22"/>
        </w:rPr>
        <w:t xml:space="preserve">Martha Arden, MD — Chair, Promotions Committee</w:t>
      </w:r>
    </w:p>
    <w:p>
      <w:pPr>
        <w:pStyle w:val="ListParagraph"/>
        <w:numPr>
          <w:ilvl w:val="0"/>
          <w:numId w:val="2"/>
        </w:numPr>
        <w:spacing w:after="60"/>
      </w:pPr>
      <w:r>
        <w:rPr>
          <w:rFonts w:ascii="Calibri" w:cs="Calibri" w:eastAsia="Calibri" w:hAnsi="Calibri"/>
          <w:sz w:val="22"/>
          <w:szCs w:val="22"/>
        </w:rPr>
        <w:t xml:space="preserve">Talia Swartz, MD, PhD — Senior Associate Dean for MD-PhD Education</w:t>
      </w:r>
    </w:p>
    <w:p>
      <w:pPr>
        <w:pStyle w:val="ListParagraph"/>
        <w:numPr>
          <w:ilvl w:val="0"/>
          <w:numId w:val="2"/>
        </w:numPr>
        <w:spacing w:after="60"/>
      </w:pPr>
      <w:r>
        <w:rPr>
          <w:rFonts w:ascii="Calibri" w:cs="Calibri" w:eastAsia="Calibri" w:hAnsi="Calibri"/>
          <w:sz w:val="22"/>
          <w:szCs w:val="22"/>
        </w:rPr>
        <w:t xml:space="preserve">Staci Leisman, MD — Chair, Pre-Clerkship Curriculum Subcommittee</w:t>
      </w:r>
    </w:p>
    <w:p>
      <w:pPr>
        <w:pStyle w:val="ListParagraph"/>
        <w:numPr>
          <w:ilvl w:val="0"/>
          <w:numId w:val="2"/>
        </w:numPr>
        <w:spacing w:after="60"/>
      </w:pPr>
      <w:r>
        <w:rPr>
          <w:rFonts w:ascii="Calibri" w:cs="Calibri" w:eastAsia="Calibri" w:hAnsi="Calibri"/>
          <w:sz w:val="22"/>
          <w:szCs w:val="22"/>
        </w:rPr>
        <w:t xml:space="preserve">Ravi Ramaswamy, MD — Chair, Curricular Integration Subcommittee</w:t>
      </w:r>
    </w:p>
    <w:p>
      <w:pPr>
        <w:pStyle w:val="ListParagraph"/>
        <w:numPr>
          <w:ilvl w:val="0"/>
          <w:numId w:val="2"/>
        </w:numPr>
        <w:spacing w:after="60"/>
      </w:pPr>
      <w:r>
        <w:rPr>
          <w:rFonts w:ascii="Calibri" w:cs="Calibri" w:eastAsia="Calibri" w:hAnsi="Calibri"/>
          <w:sz w:val="22"/>
          <w:szCs w:val="22"/>
        </w:rPr>
        <w:t xml:space="preserve">Teddy Holzer, MD — Chair, Clinical Curriculum Subcommittee</w:t>
      </w:r>
    </w:p>
    <w:p>
      <w:pPr>
        <w:pStyle w:val="ListParagraph"/>
        <w:numPr>
          <w:ilvl w:val="0"/>
          <w:numId w:val="2"/>
        </w:numPr>
        <w:spacing w:after="60"/>
      </w:pPr>
      <w:r>
        <w:rPr>
          <w:rFonts w:ascii="Calibri" w:cs="Calibri" w:eastAsia="Calibri" w:hAnsi="Calibri"/>
          <w:sz w:val="22"/>
          <w:szCs w:val="22"/>
        </w:rPr>
        <w:t xml:space="preserve">Vasundhara Singh, MD — Director of Medical Student Electives</w:t>
      </w:r>
    </w:p>
    <w:p>
      <w:pPr>
        <w:pStyle w:val="ListParagraph"/>
        <w:numPr>
          <w:ilvl w:val="0"/>
          <w:numId w:val="2"/>
        </w:numPr>
        <w:spacing w:after="60"/>
      </w:pPr>
      <w:r>
        <w:rPr>
          <w:rFonts w:ascii="Calibri" w:cs="Calibri" w:eastAsia="Calibri" w:hAnsi="Calibri"/>
          <w:sz w:val="22"/>
          <w:szCs w:val="22"/>
        </w:rPr>
        <w:t xml:space="preserve">Nisha Chadha, MD — APEX Director</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returning to chair her first EEC meeting in several months. Dr. Francis welcomed members, including those returning to the committee under the revised governance structure that took effect July 11, 2025.</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Ms. Anand and Dr. Francis confirmed quorum was achieved at call to order. The specific count of voting members present and the precise quorum threshold in effect at the time of the meeting were not stated for the record in the transcript.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Subsequent EEC meetings reflect a revised governance structure under which the quorum threshold is eight (8) voting members out of nineteen (19) total voting positions. As reconstructed from the transcript, six (6) voting members were identifiable as present (Drs. Francis, Kutscher, Lee, Stern, Kim, and Mr. Frost), which would not have constituted quorum under the eight-member threshold. However, the chair confirmed quorum verbally on the record, and additional voting members may have been present without speaking. For accreditation documentation, the precise count and threshold should be reconciled against the official sign-in record and meeting recording.</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opened the agenda with the approval of minutes from the prior meeting on July 25, 2025. She invited corrections or comments on the minutes, with the option of speaking up or raising a hand, and indicated that absent objection, approval would be assumed by unanimous consent. Ms. Anand interjected to confirm that all members were able to access the minutes through the committee’s online repository, and offered support for any member experiencing access difficulties. No corrections or objections were raised.</w:t>
      </w:r>
    </w:p>
    <w:p>
      <w:pPr>
        <w:spacing w:after="120"/>
      </w:pPr>
      <w:r>
        <w:rPr>
          <w:rFonts w:ascii="Calibri" w:cs="Calibri" w:eastAsia="Calibri" w:hAnsi="Calibri"/>
          <w:sz w:val="22"/>
          <w:szCs w:val="22"/>
        </w:rPr>
        <w:t xml:space="preserve">Outcome: Minutes from the July 25,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Approval was treated as silent assent / unanimous consent rather than as a formal seconded motion with a recorded vote. For LCME documentation traceability, the committee may wish to adopt a consistent practice of recording motions, seconds, and explicit vote tallies for minutes approval going forward.</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No agenda modifications were proposed. The agenda was treated as accepted as circulated, with a single substantive item (Review of PEAKS-1 Assessment Week).</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No standing subcommittee report-out was requested or delivered at this meeting. The substantive agenda item (Item 6.1) was developed by the Clinical Competency Subcommittee and the Office of Assessment and Evaluation, and was presented under New Business / Agenda Items below.</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 The single substantive agenda item is reflected at Item 6.1 below.</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No formal review of prior action items was conducted on the record. The PEAKS-1 update presented at this meeting (Item 6.1) represents an in-progress implementation of the broader PEAKS 1 / 2 / 3 capstone assessment structure previously approved by the EEC; this was an informational follow-up rather than a tracked action item from a specific prior meeting. It is recommended that future meetings open with an explicit status review of outstanding action items from prior minutes, in alignment with LCME Element 8.1 expectations.</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PEAKS-1 (Periodic Assessment of Knowledge and Skills) — Implementation Update</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w:t>
      </w:r>
      <w:r>
        <w:rPr>
          <w:rFonts w:ascii="Calibri" w:cs="Calibri" w:eastAsia="Calibri" w:hAnsi="Calibri"/>
          <w:i/>
          <w:iCs/>
          <w:sz w:val="22"/>
          <w:szCs w:val="22"/>
        </w:rPr>
        <w:t xml:space="preserve">(Informational follow-up on a previously approved capstone assessment structure. The presenter and the Chair confirmed on the record that no committee vote was required, as the underlying structure had been approved at a prior EEC meeting.)</w:t>
      </w:r>
    </w:p>
    <w:p>
      <w:pPr>
        <w:spacing w:after="120"/>
      </w:pPr>
      <w:r>
        <w:rPr>
          <w:rFonts w:ascii="Calibri" w:cs="Calibri" w:eastAsia="Calibri" w:hAnsi="Calibri"/>
          <w:b/>
          <w:bCs/>
          <w:sz w:val="22"/>
          <w:szCs w:val="22"/>
        </w:rPr>
        <w:t xml:space="preserve">Presenters: </w:t>
      </w:r>
      <w:r>
        <w:rPr>
          <w:rFonts w:ascii="Calibri" w:cs="Calibri" w:eastAsia="Calibri" w:hAnsi="Calibri"/>
          <w:sz w:val="22"/>
          <w:szCs w:val="22"/>
        </w:rPr>
        <w:t xml:space="preserve">Christopher Strother, MD (Chair, Clinical Competency Subcommittee); Robert Fallar, PhD (Office of Assessment and Evaluation, presenting CBSE component)</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8.4 — Program Evaluation; 8.7 — Comparability of Education / Assessment; 9.4 — Assessment System; 9.7 — Formative Assessment and Feedback</w:t>
      </w:r>
    </w:p>
    <w:p>
      <w:pPr>
        <w:pStyle w:val="Heading3"/>
      </w:pPr>
      <w:r>
        <w:rPr>
          <w:rFonts w:ascii="Calibri" w:cs="Calibri" w:eastAsia="Calibri" w:hAnsi="Calibri"/>
        </w:rPr>
        <w:t xml:space="preserve">Background and Purpose</w:t>
      </w:r>
    </w:p>
    <w:p>
      <w:pPr>
        <w:spacing w:after="120"/>
      </w:pPr>
      <w:r>
        <w:rPr>
          <w:rFonts w:ascii="Calibri" w:cs="Calibri" w:eastAsia="Calibri" w:hAnsi="Calibri"/>
          <w:sz w:val="22"/>
          <w:szCs w:val="22"/>
        </w:rPr>
        <w:t xml:space="preserve">Dr. Strother provided an implementation update on PEAKS-1, the first of three planned PEAKS capstone assessment weeks in the Ascend curriculum (PEAKS-1 at the end of Phase 1; PEAKS-2 at the end of Phase 2; PEAKS-3 at the end of Phase 3). The PEAKS framework was previously approved by the EEC; the present update presented additional implementation detail for committee input now that the design has matured. Dr. Strother emphasized that PEAKS-1 is designed as a capstone formative experience rather than a high-stakes gateway, and that this design choice is consistent with the Academic Progression Policy approved at a prior meeting.</w:t>
      </w:r>
    </w:p>
    <w:p>
      <w:pPr>
        <w:pStyle w:val="Heading3"/>
      </w:pPr>
      <w:r>
        <w:rPr>
          <w:rFonts w:ascii="Calibri" w:cs="Calibri" w:eastAsia="Calibri" w:hAnsi="Calibri"/>
        </w:rPr>
        <w:t xml:space="preserve">Structure of PEAKS-1</w:t>
      </w:r>
    </w:p>
    <w:p>
      <w:pPr>
        <w:spacing w:after="120"/>
      </w:pPr>
      <w:r>
        <w:rPr>
          <w:rFonts w:ascii="Calibri" w:cs="Calibri" w:eastAsia="Calibri" w:hAnsi="Calibri"/>
          <w:sz w:val="22"/>
          <w:szCs w:val="22"/>
        </w:rPr>
        <w:t xml:space="preserve">PEAKS-1 will be a one-week course at the close of Phase 1 (mid-December, immediately preceding the two-week winter break and the six-week dedicated study period). Academic progression for the week is pass/fail, with passing requiring satisfactory participation in all components rather than achievement of a numerical threshold; this design preserves the formative nature of the experience and is intentionally not configured as a Phase 2 progression gateway. Each individual session is capped at approximately 90–120 minutes, leaving substantial time over the course of the week for student rest, study, and integration.</w:t>
      </w:r>
    </w:p>
    <w:p>
      <w:pPr>
        <w:pStyle w:val="Heading3"/>
      </w:pPr>
      <w:r>
        <w:rPr>
          <w:rFonts w:ascii="Calibri" w:cs="Calibri" w:eastAsia="Calibri" w:hAnsi="Calibri"/>
        </w:rPr>
        <w:t xml:space="preserve">Components of PEAKS-1</w:t>
      </w:r>
    </w:p>
    <w:p>
      <w:pPr>
        <w:spacing w:after="120"/>
      </w:pPr>
      <w:r>
        <w:rPr>
          <w:rFonts w:ascii="Calibri" w:cs="Calibri" w:eastAsia="Calibri" w:hAnsi="Calibri"/>
          <w:sz w:val="22"/>
          <w:szCs w:val="22"/>
        </w:rPr>
        <w:t xml:space="preserve">Four assessment components are scheduled across the week:</w:t>
      </w:r>
    </w:p>
    <w:p>
      <w:pPr>
        <w:pStyle w:val="ListParagraph"/>
        <w:numPr>
          <w:ilvl w:val="0"/>
          <w:numId w:val="2"/>
        </w:numPr>
        <w:spacing w:after="60"/>
      </w:pPr>
      <w:r>
        <w:rPr>
          <w:rFonts w:ascii="Calibri" w:cs="Calibri" w:eastAsia="Calibri" w:hAnsi="Calibri"/>
          <w:sz w:val="22"/>
          <w:szCs w:val="22"/>
        </w:rPr>
        <w:t xml:space="preserve">Standardized-Patient OSCE (Morchand Center) — six stations, comprising two physical examination stations, two history-taking stations, and two communication-skills stations. Faculty Clinical Competency Mentors (CCMs) will observe four of the six stations and provide real-time formative feedback in a follow-up room immediately after the station. The two physical-examination stations will receive feedback from trained Standardized Patients (SPs).</w:t>
      </w:r>
    </w:p>
    <w:p>
      <w:pPr>
        <w:pStyle w:val="ListParagraph"/>
        <w:numPr>
          <w:ilvl w:val="0"/>
          <w:numId w:val="2"/>
        </w:numPr>
        <w:spacing w:after="60"/>
      </w:pPr>
      <w:r>
        <w:rPr>
          <w:rFonts w:ascii="Calibri" w:cs="Calibri" w:eastAsia="Calibri" w:hAnsi="Calibri"/>
          <w:sz w:val="22"/>
          <w:szCs w:val="22"/>
        </w:rPr>
        <w:t xml:space="preserve">Team-Based Simulation Exercise (Simulation Lab) — two high-fidelity small-group simulations with structured debrief; expected debrief time approximately twice as long as the simulation itself.</w:t>
      </w:r>
    </w:p>
    <w:p>
      <w:pPr>
        <w:pStyle w:val="ListParagraph"/>
        <w:numPr>
          <w:ilvl w:val="0"/>
          <w:numId w:val="2"/>
        </w:numPr>
        <w:spacing w:after="60"/>
      </w:pPr>
      <w:r>
        <w:rPr>
          <w:rFonts w:ascii="Calibri" w:cs="Calibri" w:eastAsia="Calibri" w:hAnsi="Calibri"/>
          <w:sz w:val="22"/>
          <w:szCs w:val="22"/>
        </w:rPr>
        <w:t xml:space="preserve">Clinical Data Interpretation Exercise — a sit-down written exam in a Step 1–style format covering ECG interpretation, imaging interpretation, and laboratory result interpretation; designed to bridge preclinical-science module knowledge into clinical-context interpretation skills.</w:t>
      </w:r>
    </w:p>
    <w:p>
      <w:pPr>
        <w:pStyle w:val="ListParagraph"/>
        <w:numPr>
          <w:ilvl w:val="0"/>
          <w:numId w:val="2"/>
        </w:numPr>
        <w:spacing w:after="60"/>
      </w:pPr>
      <w:r>
        <w:rPr>
          <w:rFonts w:ascii="Calibri" w:cs="Calibri" w:eastAsia="Calibri" w:hAnsi="Calibri"/>
          <w:sz w:val="22"/>
          <w:szCs w:val="22"/>
        </w:rPr>
        <w:t xml:space="preserve">NBME Comprehensive Basic Science Examination (CBSE) — a full-day, 200-question mock Step 1 examination administered on Friday of the PEAKS-1 week, divided into four sections (two before a break, two after). Students with approved time accommodations will sit the exam over two days. Feedback is provided through the NBME Insights dashboard, typically available three days after the exam date.</w:t>
      </w:r>
    </w:p>
    <w:p>
      <w:pPr>
        <w:pStyle w:val="Heading3"/>
      </w:pPr>
      <w:r>
        <w:rPr>
          <w:rFonts w:ascii="Calibri" w:cs="Calibri" w:eastAsia="Calibri" w:hAnsi="Calibri"/>
        </w:rPr>
        <w:t xml:space="preserve">Mapping to Medical Education Program Outcomes (MEPOs)</w:t>
      </w:r>
    </w:p>
    <w:p>
      <w:pPr>
        <w:spacing w:after="120"/>
      </w:pPr>
      <w:r>
        <w:rPr>
          <w:rFonts w:ascii="Calibri" w:cs="Calibri" w:eastAsia="Calibri" w:hAnsi="Calibri"/>
          <w:sz w:val="22"/>
          <w:szCs w:val="22"/>
        </w:rPr>
        <w:t xml:space="preserve">Dr. Strother described the alignment of each component to specific Practice of Medicine MEPOs and to the broader preclinical science modules. The standardized-patient OSCE addresses Practice of Medicine 1–3 objectives (gathering essential information, counseling and educating patients, communicating effectively with patients and colleagues, and providing healthcare services). The clinical data interpretation exercise addresses Patient Care MEPOs (interpretation of laboratory data) and Knowledge for Practice MEPOs (application of foundational scientific knowledge in clinical contexts). The team-based simulation integrates Patient Care, Knowledge for Practice, and Interpersonal &amp; Communication Skills MEPOs in a dynamic clinical scenario.</w:t>
      </w:r>
    </w:p>
    <w:p>
      <w:pPr>
        <w:pStyle w:val="Heading3"/>
      </w:pPr>
      <w:r>
        <w:rPr>
          <w:rFonts w:ascii="Calibri" w:cs="Calibri" w:eastAsia="Calibri" w:hAnsi="Calibri"/>
        </w:rPr>
        <w:t xml:space="preserve">Feedback Architecture</w:t>
      </w:r>
    </w:p>
    <w:p>
      <w:pPr>
        <w:spacing w:after="120"/>
      </w:pPr>
      <w:r>
        <w:rPr>
          <w:rFonts w:ascii="Calibri" w:cs="Calibri" w:eastAsia="Calibri" w:hAnsi="Calibri"/>
          <w:sz w:val="22"/>
          <w:szCs w:val="22"/>
        </w:rPr>
        <w:t xml:space="preserve">Substantial real-time formative feedback was identified as a defining feature of PEAKS-1. Real-time feedback is delivered during the OSCE (CCM faculty in immediate post-station rooms) and during the simulation debrief. Written feedback follows from the clinical data interpretation exercise; CBSE feedback is delivered through the NBME Insights dashboard. An assessment-committee proposal originating from a student member is to consolidate all PEAKS-1 feedback into a summary package routed to each student’s Clinical Competency Mentor (CCM), so that subsequent CCM meetings during clerkships can directly reference PEAKS-1 outcomes when discussing student goals.</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Parkas raised a concern that the timing of PEAKS-1 (mid-December, immediately before the dedicated study period) may place students in a Step 1–oriented mindset, potentially limiting their engagement with the OSCE and simulation components, which are oriented to clerkship readiness. Dr. Strother acknowledged the concern, noting that the clinical data interpretation exercise and the CBSE are directly relevant to Step 1, while the OSCE and simulation address clerkship-readiness objectives that will be reinforced during the subsequent Intro to Clerkships week. Dr. Soriano emphasized that the school is not a Step 1–driven school and that students should approach PEAKS-1 with clerkship preparation in mind. The formative-only design of PEAKS-1 was noted as an explicit mitigation against student stress.</w:t>
      </w:r>
    </w:p>
    <w:p>
      <w:pPr>
        <w:spacing w:after="120"/>
      </w:pPr>
      <w:r>
        <w:rPr>
          <w:rFonts w:ascii="Calibri" w:cs="Calibri" w:eastAsia="Calibri" w:hAnsi="Calibri"/>
          <w:sz w:val="22"/>
          <w:szCs w:val="22"/>
        </w:rPr>
        <w:t xml:space="preserve">Mr. Jamie Frost, speaking on behalf of the M2 student class (his colleague, Mr. Alan Zhang, who would be most directly affected, was unable to attend), raised a question about whether the CBSE on Friday at the end of a full assessment week may compound student fatigue, and asked whether earlier-in-the-week placement had been considered. Dr. Strother responded that the Friday placement was selected deliberately for two reasons: (1) to provide several days between the end-of-module final and the CBSE; and (2) to ensure schedule consistency across all students (placing variable assessment components on the back half of the week could create perceived inequities in early-departure scheduling). Dr. Strother offered to consult Mr. Zhang directly for further input.</w:t>
      </w:r>
    </w:p>
    <w:p>
      <w:pPr>
        <w:spacing w:after="120"/>
      </w:pPr>
      <w:r>
        <w:rPr>
          <w:rFonts w:ascii="Calibri" w:cs="Calibri" w:eastAsia="Calibri" w:hAnsi="Calibri"/>
          <w:sz w:val="22"/>
          <w:szCs w:val="22"/>
        </w:rPr>
        <w:t xml:space="preserve">Dr. Kim asked whether the immediate OSCE feedback would be delivered by a faculty member or by the standardized patient. Dr. Strother clarified that the four communication- and history-focused stations would receive faculty (CCM) feedback, while the two physical-examination stations would receive feedback from trained SPs. Dr. Kim affirmed the value of immediate, direct feedback.</w:t>
      </w:r>
    </w:p>
    <w:p>
      <w:pPr>
        <w:spacing w:after="120"/>
      </w:pPr>
      <w:r>
        <w:rPr>
          <w:rFonts w:ascii="Calibri" w:cs="Calibri" w:eastAsia="Calibri" w:hAnsi="Calibri"/>
          <w:sz w:val="22"/>
          <w:szCs w:val="22"/>
        </w:rPr>
        <w:t xml:space="preserve">Dr. Kutscher raised a substantive student-support concern: students will receive their CBSE results during the winter break (approximately three days after the Friday CBSE), at a time when CCMs and faculty support resources may have reduced availability and students will be off-campus heading into the dedicated study period. He asked what supports would be in place to help students interpret CBSE results constructively, particularly for students who may misinterpret a score in an anxious manner. Dr. Fallar responded that students will have a preparatory session with Lauren Lenkowski (learning specialist) approximately one month in advance, oriented to interpretation of NBME reports. Dr. Strother acknowledged the importance of having clear messaging in place for students who may need additional support during the break, and committed to coordinating with the CCM team and learning specialists to design a clear support and communication pathway.</w:t>
      </w:r>
    </w:p>
    <w:p>
      <w:pPr>
        <w:spacing w:after="120"/>
      </w:pPr>
      <w:r>
        <w:rPr>
          <w:rFonts w:ascii="Calibri" w:cs="Calibri" w:eastAsia="Calibri" w:hAnsi="Calibri"/>
          <w:sz w:val="22"/>
          <w:szCs w:val="22"/>
        </w:rPr>
        <w:t xml:space="preserve">Dr. Lee, speaking as a CCM, noted that CCMs meet with students weekly throughout the year and that concerns may be addressed in advance through the existing learning-community structure (including the CIPD program), not solely through the CCM. Dr. Masi reinforced the importance of ensuring that students approach the CBSE neither dismissively (“why try”) nor with disabling anxiety, and noted that engagement of CCMs and CIPDs in pre-exam preparation is appropriate. Dr. Kutscher further asked who within the support team would receive CBSE results. Dr. Strother responded that CCMs would receive a meaningful subset of feedback, and that learning specialists and advisors would receive results appropriate to their role; final allocation of feedback distribution remains under development.</w:t>
      </w:r>
    </w:p>
    <w:p>
      <w:pPr>
        <w:spacing w:after="120"/>
      </w:pPr>
      <w:r>
        <w:rPr>
          <w:rFonts w:ascii="Calibri" w:cs="Calibri" w:eastAsia="Calibri" w:hAnsi="Calibri"/>
          <w:sz w:val="22"/>
          <w:szCs w:val="22"/>
        </w:rPr>
        <w:t xml:space="preserve">Mr. Frost asked Dr. Soriano about timing of NBME vouchers for additional Step 1 practice tests. Dr. Soriano confirmed that voucher distribution is managed by Ms. Lenkowski, depending on each student’s readiness, and that most students will likely have completed at least one practice exam before the CBSE. Dr. Soriano emphasized that the value of the CBSE is partly as a baseline, with subsequent vouchered practice exams scheduled closer to a student’s actual Step 1 date.</w:t>
      </w:r>
    </w:p>
    <w:p>
      <w:pPr>
        <w:spacing w:after="120"/>
      </w:pPr>
      <w:r>
        <w:rPr>
          <w:rFonts w:ascii="Calibri" w:cs="Calibri" w:eastAsia="Calibri" w:hAnsi="Calibri"/>
          <w:sz w:val="22"/>
          <w:szCs w:val="22"/>
        </w:rPr>
        <w:t xml:space="preserve">Dr. Kutscher raised a final question regarding the 8-week window between the end of Phase 1 and the start of Phase 2 (two weeks of winter break + six weeks dedicated), and asked whether there is a defined institutional approach for students who may seek to reschedule or extend their Step 1 study time near the end of the dedicated period. Dr. Parkas responded that, drawing on legacy curriculum data (only legacy data are currently available; Ascend cohort data are not yet available), approximately 10–15% of students do not take Step 1 prior to entering the clerkship year. She noted that some students benefit from sitting Step 2 before Step 1, and that schedule flexibility around Step 1 is available with appropriate learning-specialist support. Dr. Soriano added that the Academic Progression Policy treats Step 1 as a graduation requirement rather than a Phase 2 progression gateway, permitting flexibility in timing. Dr. Kutscher recommended that institutional messaging encourage students to schedule Step 1 earlier within the dedicated window (rather than the final day) so that any need to reschedule does not compress the transition to Phase 2.</w:t>
      </w:r>
    </w:p>
    <w:p>
      <w:pPr>
        <w:spacing w:after="120"/>
      </w:pPr>
      <w:r>
        <w:rPr>
          <w:rFonts w:ascii="Calibri" w:cs="Calibri" w:eastAsia="Calibri" w:hAnsi="Calibri"/>
          <w:sz w:val="22"/>
          <w:szCs w:val="22"/>
        </w:rPr>
        <w:t xml:space="preserve">Dr. Francis, in closing, echoed several members’ concerns regarding student support during the holiday period, and asked the team to ensure that clear communication and a designated support pathway (including a CCM proxy where the primary CCM is unavailable) are in place before the December PEAKS-1 administration.</w:t>
      </w:r>
    </w:p>
    <w:p>
      <w:pPr>
        <w:pStyle w:val="Heading3"/>
      </w:pPr>
      <w:r>
        <w:rPr>
          <w:rFonts w:ascii="Calibri" w:cs="Calibri" w:eastAsia="Calibri" w:hAnsi="Calibri"/>
        </w:rPr>
        <w:t xml:space="preserve">Outcome</w:t>
      </w:r>
    </w:p>
    <w:p>
      <w:pPr>
        <w:spacing w:after="120"/>
      </w:pPr>
      <w:r>
        <w:rPr>
          <w:rFonts w:ascii="Calibri" w:cs="Calibri" w:eastAsia="Calibri" w:hAnsi="Calibri"/>
          <w:sz w:val="22"/>
          <w:szCs w:val="22"/>
        </w:rPr>
        <w:t xml:space="preserve">Received and discussed. As confirmed on the record by Dr. Strother and Dr. Francis, no committee vote was required at this meeting, because the underlying PEAKS structure had been approved by the EEC at a prior meeting. The Clinical Competency Subcommittee agreed to incorporate the committee’s feedback regarding student support, feedback distribution, and CCM coordination into the final PEAKS-1 implementation plan ahead of the December 2025 administration.</w:t>
      </w:r>
    </w:p>
    <w:p>
      <w:pPr>
        <w:pStyle w:val="Heading1"/>
      </w:pPr>
      <w:r>
        <w:rPr>
          <w:rFonts w:ascii="Calibri" w:cs="Calibri" w:eastAsia="Calibri" w:hAnsi="Calibri"/>
        </w:rPr>
        <w:t xml:space="preserve">7. Summary of Action Items</w:t>
      </w:r>
    </w:p>
    <w:p>
      <w:pPr>
        <w:spacing w:after="120"/>
      </w:pPr>
      <w:r>
        <w:rPr>
          <w:rFonts w:ascii="Calibri" w:cs="Calibri" w:eastAsia="Calibri" w:hAnsi="Calibri"/>
          <w:sz w:val="22"/>
          <w:szCs w:val="22"/>
        </w:rPr>
        <w:t xml:space="preserve">Each action item carries a defined EEC follow-up date, in alignment with LCME Element 8.1 expectations for documented closure of committee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Develop and document a clear support and communication pathway for students receiving CBSE results during the winter break, including identification of a designated CCM proxy or escalation contact when primary CCMs are unavailable. Coordinate distribution of CBSE results across the support team (CCMs, learning specialists, advisors).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 Strother, MD (CCS); R. Fallar, PhD (OAE); L. Lenkowski (Learning Specialist)</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December 2025 PEAKS-1 administration</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support pathway is finalized; revisit January 2026 to review student experience.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Consult directly with Mr. Alan Zhang (M2 Student Representative) regarding student-perspective input on the PEAKS-1 schedule (specifically the placement of the CBSE on Friday).</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 Strother, MD (CCS)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next CCS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consultation has occurred; report any schedule adjustments arising from student input.</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Finalize the mechanism by which a consolidated PEAKS-1 feedback summary is delivered to each student’s Clinical Competency Mentor (CCM), enabling integration of PEAKS-1 outcomes into subsequent CCM advising during the clerkship phase.</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 Strother, MD (CCS); CCM Faculty</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December 2025 PEAKS-1 administration</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2026 EEC meeting — confirm mechanism is operational following first PEAKS-1 administration; report any implementation issues.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Develop institutional messaging encouraging students to schedule Step 1 earlier within the dedicated study window (rather than at the very end), to preserve flexibility for rescheduling without compressing the transition to Phase 2.</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V. Parkas, MD; Office of Student Affairs; L. Lenkowski</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Ahead of the dedicated study period (early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2026 EEC meeting — confirm messaging is in place and review early Step 1 scheduling patterns once available.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9.4 / 9.9</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Reconcile minutes of this meeting against the meeting recording and the Office of Curricular Affairs sign-in record, to confirm the precise count of voting members present at call to order and the quorum threshold in effect on August 22, 2025.</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September 5,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September 5, 2025 EEC meeting — confirm reconciliation has been completed; publish corrected minutes if needed.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There being no further questions or business, Dr. Francis declared the meeting adjourned at approximately 12:48 p.m. ET, approximately twelve minutes ahead of the scheduled close.</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September 5, 2025.</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August 22, 2025. Minutes are prepared in alignment with LCME Element 8.1 (Curricular Management)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August 22,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F82D19AE-F443-4408-A207-7C33D45C106D}"/>
</file>

<file path=customXml/itemProps2.xml><?xml version="1.0" encoding="utf-8"?>
<ds:datastoreItem xmlns:ds="http://schemas.openxmlformats.org/officeDocument/2006/customXml" ds:itemID="{577D437B-A7D1-42D5-AEF4-91D8DC73A74B}"/>
</file>

<file path=customXml/itemProps3.xml><?xml version="1.0" encoding="utf-8"?>
<ds:datastoreItem xmlns:ds="http://schemas.openxmlformats.org/officeDocument/2006/customXml" ds:itemID="{866D9CC2-74A7-4C69-A81D-9BC7FAEFFC9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August 22, 2025</dc:title>
  <dc:creator>Educational Executive Committee</dc:creator>
  <cp:lastModifiedBy>Un-named</cp:lastModifiedBy>
  <cp:revision>1</cp:revision>
  <dcterms:created xsi:type="dcterms:W3CDTF">2026-05-08T22:19:35Z</dcterms:created>
  <dcterms:modified xsi:type="dcterms:W3CDTF">2026-05-08T22:19:35Z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