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October 17,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17,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1:09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Threshold: 8 voting members. Quorum confirmed at approximately 12:12 p.m. (see Section 2 for detail)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Richard Stern, MD — Faculty Educator at Large</w:t>
      </w:r>
    </w:p>
    <w:p>
      <w:pPr>
        <w:pStyle w:val="ListParagraph"/>
        <w:numPr>
          <w:ilvl w:val="0"/>
          <w:numId w:val="2"/>
        </w:numPr>
        <w:spacing w:after="60"/>
      </w:pPr>
      <w:r>
        <w:rPr>
          <w:rFonts w:ascii="Calibri" w:cs="Calibri" w:eastAsia="Calibri" w:hAnsi="Calibri"/>
          <w:sz w:val="22"/>
          <w:szCs w:val="22"/>
        </w:rPr>
        <w:t xml:space="preserve">Arvind Kamthan, MD — Faculty Educator at Large</w:t>
      </w:r>
    </w:p>
    <w:p>
      <w:pPr>
        <w:pStyle w:val="ListParagraph"/>
        <w:numPr>
          <w:ilvl w:val="0"/>
          <w:numId w:val="2"/>
        </w:numPr>
        <w:spacing w:after="60"/>
      </w:pPr>
      <w:r>
        <w:rPr>
          <w:rFonts w:ascii="Calibri" w:cs="Calibri" w:eastAsia="Calibri" w:hAnsi="Calibri"/>
          <w:sz w:val="22"/>
          <w:szCs w:val="22"/>
        </w:rPr>
        <w:t xml:space="preserve">Ganesh Gunasekaran, MD — Faculty Educator at Large (vote eligibility status under reconciliation per October 3 action item)</w:t>
      </w:r>
    </w:p>
    <w:p>
      <w:pPr>
        <w:pStyle w:val="ListParagraph"/>
        <w:numPr>
          <w:ilvl w:val="0"/>
          <w:numId w:val="2"/>
        </w:numPr>
        <w:spacing w:after="60"/>
      </w:pPr>
      <w:r>
        <w:rPr>
          <w:rFonts w:ascii="Calibri" w:cs="Calibri" w:eastAsia="Calibri" w:hAnsi="Calibri"/>
          <w:sz w:val="22"/>
          <w:szCs w:val="22"/>
        </w:rPr>
        <w:t xml:space="preserve">Eve Merrill, MD — Faculty Curricular Leader (Clerkship Director); joined approximately 12 minutes after meeting start; her arrival enabled quorum</w:t>
      </w:r>
    </w:p>
    <w:p>
      <w:pPr>
        <w:pStyle w:val="ListParagraph"/>
        <w:numPr>
          <w:ilvl w:val="0"/>
          <w:numId w:val="2"/>
        </w:numPr>
        <w:spacing w:after="60"/>
      </w:pPr>
      <w:r>
        <w:rPr>
          <w:rFonts w:ascii="Calibri" w:cs="Calibri" w:eastAsia="Calibri" w:hAnsi="Calibri"/>
          <w:sz w:val="22"/>
          <w:szCs w:val="22"/>
        </w:rPr>
        <w:t xml:space="preserve">Alexandros Polydorides, MD, PhD — Faculty Curricular Leader (Module Director, Pre-clerkship)</w:t>
      </w:r>
    </w:p>
    <w:p>
      <w:pPr>
        <w:spacing w:after="120"/>
        <w:rPr>
          <w:i/>
          <w:iCs/>
          <w:sz w:val="20"/>
          <w:szCs w:val="20"/>
        </w:rPr>
      </w:pPr>
      <w:r>
        <w:rPr>
          <w:rFonts w:ascii="Calibri" w:cs="Calibri" w:eastAsia="Calibri" w:hAnsi="Calibri"/>
          <w:i/>
          <w:iCs/>
          <w:sz w:val="20"/>
          <w:szCs w:val="20"/>
        </w:rPr>
        <w:t xml:space="preserve">Additional voting members were present in sufficient number to achieve quorum (eight voting members) at approximately 12:12 p.m., as confirmed by Ms. Anand. Specific identification of each additional voting member could not be reconstructed solely from the transcript without speaker identification.</w:t>
      </w:r>
    </w:p>
    <w:p>
      <w:pPr>
        <w:pStyle w:val="Heading2"/>
      </w:pPr>
      <w:r>
        <w:rPr>
          <w:rFonts w:ascii="Calibri" w:cs="Calibri" w:eastAsia="Calibri" w:hAnsi="Calibri"/>
        </w:rPr>
        <w:t xml:space="preserve">Voting Members Absent</w:t>
      </w:r>
    </w:p>
    <w:p>
      <w:pPr>
        <w:pStyle w:val="ListParagraph"/>
        <w:numPr>
          <w:ilvl w:val="0"/>
          <w:numId w:val="2"/>
        </w:numPr>
        <w:spacing w:after="60"/>
      </w:pPr>
      <w:r>
        <w:rPr>
          <w:rFonts w:ascii="Calibri" w:cs="Calibri" w:eastAsia="Calibri" w:hAnsi="Calibri"/>
          <w:sz w:val="22"/>
          <w:szCs w:val="22"/>
        </w:rPr>
        <w:t xml:space="preserve">Eric Kutscher, MD — Faculty Educator at Large</w:t>
      </w:r>
    </w:p>
    <w:p>
      <w:pPr>
        <w:pStyle w:val="ListParagraph"/>
        <w:numPr>
          <w:ilvl w:val="0"/>
          <w:numId w:val="2"/>
        </w:numPr>
        <w:spacing w:after="60"/>
      </w:pPr>
      <w:r>
        <w:rPr>
          <w:rFonts w:ascii="Calibri" w:cs="Calibri" w:eastAsia="Calibri" w:hAnsi="Calibri"/>
          <w:sz w:val="22"/>
          <w:szCs w:val="22"/>
        </w:rPr>
        <w:t xml:space="preserve">Brian Rice, MD — Faculty Educator at Large</w:t>
      </w:r>
    </w:p>
    <w:p>
      <w:pPr>
        <w:pStyle w:val="ListParagraph"/>
        <w:numPr>
          <w:ilvl w:val="0"/>
          <w:numId w:val="2"/>
        </w:numPr>
        <w:spacing w:after="60"/>
      </w:pPr>
      <w:r>
        <w:rPr>
          <w:rFonts w:ascii="Calibri" w:cs="Calibri" w:eastAsia="Calibri" w:hAnsi="Calibri"/>
          <w:sz w:val="22"/>
          <w:szCs w:val="22"/>
        </w:rPr>
        <w:t xml:space="preserve">Jessica Reid-Adam,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Tonia Kim, MD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Cynthia Abraham, MD — Faculty Curricular Leader (Clerkship Director)</w:t>
      </w:r>
    </w:p>
    <w:p>
      <w:pPr>
        <w:pStyle w:val="ListParagraph"/>
        <w:numPr>
          <w:ilvl w:val="0"/>
          <w:numId w:val="2"/>
        </w:numPr>
        <w:spacing w:after="60"/>
      </w:pPr>
      <w:r>
        <w:rPr>
          <w:rFonts w:ascii="Calibri" w:cs="Calibri" w:eastAsia="Calibri" w:hAnsi="Calibri"/>
          <w:sz w:val="22"/>
          <w:szCs w:val="22"/>
        </w:rPr>
        <w:t xml:space="preserve">Craig Katz, MD — Career and Professional Development Advisor</w:t>
      </w:r>
    </w:p>
    <w:p>
      <w:pPr>
        <w:pStyle w:val="ListParagraph"/>
        <w:numPr>
          <w:ilvl w:val="0"/>
          <w:numId w:val="2"/>
        </w:numPr>
        <w:spacing w:after="60"/>
      </w:pPr>
      <w:r>
        <w:rPr>
          <w:rFonts w:ascii="Calibri" w:cs="Calibri" w:eastAsia="Calibri" w:hAnsi="Calibri"/>
          <w:sz w:val="22"/>
          <w:szCs w:val="22"/>
        </w:rPr>
        <w:t xml:space="preserve">Vannita Simma-Chiang, MD — Specialty Advisor</w:t>
      </w:r>
    </w:p>
    <w:p>
      <w:pPr>
        <w:pStyle w:val="ListParagraph"/>
        <w:numPr>
          <w:ilvl w:val="0"/>
          <w:numId w:val="2"/>
        </w:numPr>
        <w:spacing w:after="60"/>
      </w:pPr>
      <w:r>
        <w:rPr>
          <w:rFonts w:ascii="Calibri" w:cs="Calibri" w:eastAsia="Calibri" w:hAnsi="Calibri"/>
          <w:sz w:val="22"/>
          <w:szCs w:val="22"/>
        </w:rPr>
        <w:t xml:space="preserve">Alan Zhang — Student Representative, M2 (no student representatives attended; the M2 cohort was sitting an examination at the meeting time)</w:t>
      </w:r>
    </w:p>
    <w:p>
      <w:pPr>
        <w:pStyle w:val="ListParagraph"/>
        <w:numPr>
          <w:ilvl w:val="0"/>
          <w:numId w:val="2"/>
        </w:numPr>
        <w:spacing w:after="60"/>
      </w:pPr>
      <w:r>
        <w:rPr>
          <w:rFonts w:ascii="Calibri" w:cs="Calibri" w:eastAsia="Calibri" w:hAnsi="Calibri"/>
          <w:sz w:val="22"/>
          <w:szCs w:val="22"/>
        </w:rPr>
        <w:t xml:space="preserve">Jamie Frost — Student Representative, M3</w:t>
      </w:r>
    </w:p>
    <w:p>
      <w:pPr>
        <w:pStyle w:val="ListParagraph"/>
        <w:numPr>
          <w:ilvl w:val="0"/>
          <w:numId w:val="2"/>
        </w:numPr>
        <w:spacing w:after="60"/>
      </w:pPr>
      <w:r>
        <w:rPr>
          <w:rFonts w:ascii="Calibri" w:cs="Calibri" w:eastAsia="Calibri" w:hAnsi="Calibri"/>
          <w:sz w:val="22"/>
          <w:szCs w:val="22"/>
        </w:rPr>
        <w:t xml:space="preserve">Farimata Mbaye — Student Representative, M4</w:t>
      </w:r>
    </w:p>
    <w:p>
      <w:pPr>
        <w:pStyle w:val="ListParagraph"/>
        <w:numPr>
          <w:ilvl w:val="0"/>
          <w:numId w:val="2"/>
        </w:numPr>
        <w:spacing w:after="60"/>
      </w:pPr>
      <w:r>
        <w:rPr>
          <w:rFonts w:ascii="Calibri" w:cs="Calibri" w:eastAsia="Calibri" w:hAnsi="Calibri"/>
          <w:sz w:val="22"/>
          <w:szCs w:val="22"/>
        </w:rPr>
        <w:t xml:space="preserve">Phase 1 (M1) Student Representative — vacant (TBA)</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No student representatives attended this meeting. Dr. Leisman noted that the M2 cohort was scheduled to sit an examination at the meeting time. The committee should consider whether scheduling adjustments are warranted to support student representative participation, particularly given that all three EEC student representative seats are voting positions and that under the new governance structure each absent voting member affects quorum and decision-making capacity.</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Associate Dean for UME Affairs (Administrative Lead)</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Robert Fallar, PhD — Associate Dean for Assessment and Evaluation (commented on evaluation timing and survey design)</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 and Recruitment</w:t>
      </w:r>
    </w:p>
    <w:p>
      <w:pPr>
        <w:pStyle w:val="ListParagraph"/>
        <w:numPr>
          <w:ilvl w:val="0"/>
          <w:numId w:val="2"/>
        </w:numPr>
        <w:spacing w:after="60"/>
      </w:pPr>
      <w:r>
        <w:rPr>
          <w:rFonts w:ascii="Calibri" w:cs="Calibri" w:eastAsia="Calibri" w:hAnsi="Calibri"/>
          <w:sz w:val="22"/>
          <w:szCs w:val="22"/>
        </w:rPr>
        <w:t xml:space="preserve">Barbara Masi, PhD — Director of Quality, Compliance, and Accreditation</w:t>
      </w:r>
    </w:p>
    <w:p>
      <w:pPr>
        <w:pStyle w:val="Heading2"/>
      </w:pPr>
      <w:r>
        <w:rPr>
          <w:rFonts w:ascii="Calibri" w:cs="Calibri" w:eastAsia="Calibri" w:hAnsi="Calibri"/>
        </w:rPr>
        <w:t xml:space="preserve">CA Leadership Present (Non-Voting)</w:t>
      </w:r>
    </w:p>
    <w:p>
      <w:pPr>
        <w:pStyle w:val="ListParagraph"/>
        <w:numPr>
          <w:ilvl w:val="0"/>
          <w:numId w:val="2"/>
        </w:numPr>
        <w:spacing w:after="60"/>
      </w:pPr>
      <w:r>
        <w:rPr>
          <w:rFonts w:ascii="Calibri" w:cs="Calibri" w:eastAsia="Calibri" w:hAnsi="Calibri"/>
          <w:sz w:val="22"/>
          <w:szCs w:val="22"/>
        </w:rPr>
        <w:t xml:space="preserve">Staci Leisman, MD — Chair, Pre-Clerkship Curriculum Subcommittee (lead presenter, Item 6.2)</w:t>
      </w:r>
    </w:p>
    <w:p>
      <w:pPr>
        <w:pStyle w:val="Heading2"/>
      </w:pPr>
      <w:r>
        <w:rPr>
          <w:rFonts w:ascii="Calibri" w:cs="Calibri" w:eastAsia="Calibri" w:hAnsi="Calibri"/>
        </w:rPr>
        <w:t xml:space="preserve">Operations Staff Present (Non-Voting)</w:t>
      </w:r>
    </w:p>
    <w:p>
      <w:pPr>
        <w:pStyle w:val="ListParagraph"/>
        <w:numPr>
          <w:ilvl w:val="0"/>
          <w:numId w:val="2"/>
        </w:numPr>
        <w:spacing w:after="60"/>
      </w:pPr>
      <w:r>
        <w:rPr>
          <w:rFonts w:ascii="Calibri" w:cs="Calibri" w:eastAsia="Calibri" w:hAnsi="Calibri"/>
          <w:sz w:val="22"/>
          <w:szCs w:val="22"/>
        </w:rPr>
        <w:t xml:space="preserve">Fatima Shafiq — Project Manager, Curricular Affairs</w:t>
      </w:r>
    </w:p>
    <w:p>
      <w:pPr>
        <w:pStyle w:val="Heading2"/>
      </w:pPr>
      <w:r>
        <w:rPr>
          <w:rFonts w:ascii="Calibri" w:cs="Calibri" w:eastAsia="Calibri" w:hAnsi="Calibri"/>
        </w:rPr>
        <w:t xml:space="preserve">Ex Officio and CA Leadership Members Not Present</w:t>
      </w:r>
    </w:p>
    <w:p>
      <w:pPr>
        <w:pStyle w:val="ListParagraph"/>
        <w:numPr>
          <w:ilvl w:val="0"/>
          <w:numId w:val="2"/>
        </w:numPr>
        <w:spacing w:after="60"/>
      </w:pPr>
      <w:r>
        <w:rPr>
          <w:rFonts w:ascii="Calibri" w:cs="Calibri" w:eastAsia="Calibri" w:hAnsi="Calibri"/>
          <w:sz w:val="22"/>
          <w:szCs w:val="22"/>
        </w:rPr>
        <w:t xml:space="preserve">David C. Thomas, MD, MHPE — Dean for Medical Education</w:t>
      </w:r>
    </w:p>
    <w:p>
      <w:pPr>
        <w:pStyle w:val="ListParagraph"/>
        <w:numPr>
          <w:ilvl w:val="0"/>
          <w:numId w:val="2"/>
        </w:numPr>
        <w:spacing w:after="60"/>
      </w:pPr>
      <w:r>
        <w:rPr>
          <w:rFonts w:ascii="Calibri" w:cs="Calibri" w:eastAsia="Calibri" w:hAnsi="Calibri"/>
          <w:sz w:val="22"/>
          <w:szCs w:val="22"/>
        </w:rPr>
        <w:t xml:space="preserve">Steve Paik — Senior Associate Dean for Student Affairs</w:t>
      </w:r>
    </w:p>
    <w:p>
      <w:pPr>
        <w:pStyle w:val="ListParagraph"/>
        <w:numPr>
          <w:ilvl w:val="0"/>
          <w:numId w:val="2"/>
        </w:numPr>
        <w:spacing w:after="60"/>
      </w:pPr>
      <w:r>
        <w:rPr>
          <w:rFonts w:ascii="Calibri" w:cs="Calibri" w:eastAsia="Calibri" w:hAnsi="Calibri"/>
          <w:sz w:val="22"/>
          <w:szCs w:val="22"/>
        </w:rPr>
        <w:t xml:space="preserve">Martha Arden, MD — Chair, Promotions Committee</w:t>
      </w:r>
    </w:p>
    <w:p>
      <w:pPr>
        <w:pStyle w:val="ListParagraph"/>
        <w:numPr>
          <w:ilvl w:val="0"/>
          <w:numId w:val="2"/>
        </w:numPr>
        <w:spacing w:after="60"/>
      </w:pPr>
      <w:r>
        <w:rPr>
          <w:rFonts w:ascii="Calibri" w:cs="Calibri" w:eastAsia="Calibri" w:hAnsi="Calibri"/>
          <w:sz w:val="22"/>
          <w:szCs w:val="22"/>
        </w:rPr>
        <w:t xml:space="preserve">Talia Swartz, MD, PhD — Senior Associate Dean for MD-PhD Education</w:t>
      </w:r>
    </w:p>
    <w:p>
      <w:pPr>
        <w:pStyle w:val="ListParagraph"/>
        <w:numPr>
          <w:ilvl w:val="0"/>
          <w:numId w:val="2"/>
        </w:numPr>
        <w:spacing w:after="60"/>
      </w:pPr>
      <w:r>
        <w:rPr>
          <w:rFonts w:ascii="Calibri" w:cs="Calibri" w:eastAsia="Calibri" w:hAnsi="Calibri"/>
          <w:sz w:val="22"/>
          <w:szCs w:val="22"/>
        </w:rPr>
        <w:t xml:space="preserve">Christopher Strother, MD — Chair, Clinical Competency Subcommittee</w:t>
      </w:r>
    </w:p>
    <w:p>
      <w:pPr>
        <w:pStyle w:val="ListParagraph"/>
        <w:numPr>
          <w:ilvl w:val="0"/>
          <w:numId w:val="2"/>
        </w:numPr>
        <w:spacing w:after="60"/>
      </w:pPr>
      <w:r>
        <w:rPr>
          <w:rFonts w:ascii="Calibri" w:cs="Calibri" w:eastAsia="Calibri" w:hAnsi="Calibri"/>
          <w:sz w:val="22"/>
          <w:szCs w:val="22"/>
        </w:rPr>
        <w:t xml:space="preserve">Ravi Ramaswamy, MD — Chair, Curricular Integration Subcommittee</w:t>
      </w:r>
    </w:p>
    <w:p>
      <w:pPr>
        <w:pStyle w:val="ListParagraph"/>
        <w:numPr>
          <w:ilvl w:val="0"/>
          <w:numId w:val="2"/>
        </w:numPr>
        <w:spacing w:after="60"/>
      </w:pPr>
      <w:r>
        <w:rPr>
          <w:rFonts w:ascii="Calibri" w:cs="Calibri" w:eastAsia="Calibri" w:hAnsi="Calibri"/>
          <w:sz w:val="22"/>
          <w:szCs w:val="22"/>
        </w:rPr>
        <w:t xml:space="preserve">Teddy Holzer, MD — Chair, Clinical Curriculum Subcommittee</w:t>
      </w:r>
    </w:p>
    <w:p>
      <w:pPr>
        <w:pStyle w:val="ListParagraph"/>
        <w:numPr>
          <w:ilvl w:val="0"/>
          <w:numId w:val="2"/>
        </w:numPr>
        <w:spacing w:after="60"/>
      </w:pPr>
      <w:r>
        <w:rPr>
          <w:rFonts w:ascii="Calibri" w:cs="Calibri" w:eastAsia="Calibri" w:hAnsi="Calibri"/>
          <w:sz w:val="22"/>
          <w:szCs w:val="22"/>
        </w:rPr>
        <w:t xml:space="preserve">Vasundhara Singh, MD — Director of Medical Student Electives</w:t>
      </w:r>
    </w:p>
    <w:p>
      <w:pPr>
        <w:pStyle w:val="ListParagraph"/>
        <w:numPr>
          <w:ilvl w:val="0"/>
          <w:numId w:val="2"/>
        </w:numPr>
        <w:spacing w:after="60"/>
      </w:pPr>
      <w:r>
        <w:rPr>
          <w:rFonts w:ascii="Calibri" w:cs="Calibri" w:eastAsia="Calibri" w:hAnsi="Calibri"/>
          <w:sz w:val="22"/>
          <w:szCs w:val="22"/>
        </w:rPr>
        <w:t xml:space="preserve">Nisha Chadha, MD — APEX Director</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12:12 p.m. ET, immediately upon achievement of quorum following the arrival of Dr. Eve Merrill (who had advised in advance she would arrive approximately 15 minutes late).</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took approximately 12 minutes to assemble at the opening of this meeting. Ms. Anand confirmed the eight-voting-member threshold and tracked attendance as members joined. Once Dr. Merrill joined, Ms. Anand confirmed quorum on the record and the agenda proceeded.</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committee held a brief discussion regarding the difficulty of achieving quorum on a meeting day with no student representatives attending and several voting absences. The Chair signaled that meeting cadence and structural questions about quorum may warrant revisiting at the planning level. This recurring theme across multiple recent EEC meetings should be prioritized in the EEC Handbook addendum being prepared by Drs. Soriano and Masi (action item from September 19 EEC meeting).</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October 3, 2025 EEC meeting for approval. She invited corrections, comments, or updates. None were raised.</w:t>
      </w:r>
    </w:p>
    <w:p>
      <w:pPr>
        <w:spacing w:after="120"/>
      </w:pPr>
      <w:r>
        <w:rPr>
          <w:rFonts w:ascii="Calibri" w:cs="Calibri" w:eastAsia="Calibri" w:hAnsi="Calibri"/>
          <w:sz w:val="22"/>
          <w:szCs w:val="22"/>
        </w:rPr>
        <w:t xml:space="preserve">Outcome: Minutes from the October 3,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Approval of prior minutes was treated as silent assent / unanimous consent rather than as a formally moved-and-seconded motion with a recorded vote. For LCME documentation traceability, the committee may wish to adopt a consistent practice of recording motions, seconds, and explicit vote tallies for minutes approval going forward.</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contained two items: (1) approval of prior meeting minutes (voting); and (2) module reviews for Anatomy, Foundations of Immunology and Microbiology, and Neuroscience for the 2024–2025 academic year (voting). No agenda modifications were proposed.</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The substantive agenda item (Item 6.2) constituted the formal report-out from the Pre-Clerkship Curriculum Subcommittee (PCCS) regarding three pre-clerkship module reviews, presented under the new governance structure. As Dr. Leisman explained on the record, module reviews previously came directly from the course director to the EEC (with the OAE compiling data and the course director reflecting on it). Under the revised governance structure, module reviews are presented first by module directors at the PCCS, then approved by the Curriculum Steering Subcommittee (CSS), and finally brought to the EEC for final approval. The reviews presented at this meeting represent the third and final approval step in this pathway.</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During discussion of Item 6.2, Dr. Soriano introduced an unplanned discussion item regarding redesign of the module evaluation survey instrument and the 50% sample of students surveyed (see Item 6.2 Member Discussion below). This discussion is treated as informational and is captured in the action items for follow-up at the Assessment and Evaluation Subcommittee.</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No formal review of prior action items was conducted on the record at the opening of this meeting. Several action items from prior meetings remain in progress (AI Usage Policy publication; PEAKS-1 implementation activities; member attendance practices; EEC Handbook addendum). It is recommended that future meetings open with a brief status review of outstanding action items, in alignment with LCME Element 8.1 expectations for documented closure of committee actions.</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October 3, 2025</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for the disposition; minutes were approved by unanimous consent. Reflected here for completeness.)</w:t>
      </w:r>
    </w:p>
    <w:p>
      <w:pPr>
        <w:pStyle w:val="Heading2"/>
      </w:pPr>
      <w:r>
        <w:rPr>
          <w:rFonts w:ascii="Calibri" w:cs="Calibri" w:eastAsia="Calibri" w:hAnsi="Calibri"/>
        </w:rPr>
        <w:t xml:space="preserve">6.2  Module Reviews — Anatomy, Foundations of Immunology and Microbiology, and Neuroscience (2024–2025 Academic Year)</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Staci Leisman, MD (Chair, Pre-Clerkship Curriculum Subcommittee), with supporting commentary from Rainier P. Soriano, MD; Barbara Masi, PhD; Robert Fallar, PhD; Valerie Parkas,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 Curricular Design, Review, Revision, Improvement; 8.4 — Program Evaluation; 8.7 — Comparability of Education / Assessment; 9.4 — Assessment System; 9.7 — Formative Assessment and Feedback; 9.8 — Fair and Timely Summative Assessment</w:t>
      </w:r>
    </w:p>
    <w:p>
      <w:pPr>
        <w:pStyle w:val="Heading3"/>
      </w:pPr>
      <w:r>
        <w:rPr>
          <w:rFonts w:ascii="Calibri" w:cs="Calibri" w:eastAsia="Calibri" w:hAnsi="Calibri"/>
        </w:rPr>
        <w:t xml:space="preserve">Module Review Process Under the New Governance Structure</w:t>
      </w:r>
    </w:p>
    <w:p>
      <w:pPr>
        <w:spacing w:after="120"/>
      </w:pPr>
      <w:r>
        <w:rPr>
          <w:rFonts w:ascii="Calibri" w:cs="Calibri" w:eastAsia="Calibri" w:hAnsi="Calibri"/>
          <w:sz w:val="22"/>
          <w:szCs w:val="22"/>
        </w:rPr>
        <w:t xml:space="preserve">Dr. Leisman opened by describing the revised module review pathway under the curricular governance structure adopted in summer 2025. Module reviews are now reviewed first at the PCCS (by module director presentation), then at the CSS for cross-phase integration review, and finally at the EEC for approval. Each review draws on (a) student survey data compiled by the Office of Assessment and Evaluation; (b) the module director’s reflection form and discussions with module representatives and Curricular Affairs; and (c) a structured action plan addressing identified issues. The 145 student survey instrument is administered to a 50% random sample of the cohort to mitigate survey fatigue.</w:t>
      </w:r>
    </w:p>
    <w:p>
      <w:pPr>
        <w:spacing w:after="120"/>
      </w:pPr>
      <w:r>
        <w:rPr>
          <w:rFonts w:ascii="Calibri" w:cs="Calibri" w:eastAsia="Calibri" w:hAnsi="Calibri"/>
          <w:sz w:val="22"/>
          <w:szCs w:val="22"/>
        </w:rPr>
        <w:t xml:space="preserve">The three modules reviewed at this meeting are foundational and first-organ-system modules from the inaugural Ascend curriculum year (2024–2025): Anatomy, Foundations of Immunology and Microbiology (FIM, formerly named Microbiology and Immunology), and Neuroscience. The remaining foundational modules (Pathology and MCG) are scheduled for review in the coming months.</w:t>
      </w:r>
    </w:p>
    <w:p>
      <w:pPr>
        <w:pStyle w:val="Heading3"/>
      </w:pPr>
      <w:r>
        <w:rPr>
          <w:rFonts w:ascii="Calibri" w:cs="Calibri" w:eastAsia="Calibri" w:hAnsi="Calibri"/>
        </w:rPr>
        <w:t xml:space="preserve">Module Review — Anatomy</w:t>
      </w:r>
    </w:p>
    <w:p>
      <w:pPr>
        <w:spacing w:after="120"/>
      </w:pPr>
      <w:r>
        <w:rPr>
          <w:rFonts w:ascii="Calibri" w:cs="Calibri" w:eastAsia="Calibri" w:hAnsi="Calibri"/>
          <w:sz w:val="22"/>
          <w:szCs w:val="22"/>
        </w:rPr>
        <w:t xml:space="preserve">The Ascend Anatomy module reduced the legacy Structures course from 8 weeks to 6 weeks, with histology removed entirely (relocated to relevant organ-system modules) and selected embryology relocated to the cardiology module. The module director (Dr. Trevor Poor) was rated very highly by students. Faculty teaching ratings improved from 69% to 83% (legacy to Ascend). Student perception of workload manageability declined sharply, from 86% (legacy) to 45% (Ascend), despite content removal; Dr. Soriano observed that this reflected a partly perceptual challenge driven by upper-class messaging that the module was “squishing 8 weeks into 6 weeks,” and partly a structural challenge in that recommended/suggested supplementary resources had not been adequately curated. Organization and flow scores declined and objectives clarity weakened. All 100% of students passed; 90%+ scored above 75%; the final grade mean was 83.</w:t>
      </w:r>
    </w:p>
    <w:p>
      <w:pPr>
        <w:spacing w:after="120"/>
      </w:pPr>
      <w:r>
        <w:rPr>
          <w:rFonts w:ascii="Calibri" w:cs="Calibri" w:eastAsia="Calibri" w:hAnsi="Calibri"/>
          <w:sz w:val="22"/>
          <w:szCs w:val="22"/>
        </w:rPr>
        <w:t xml:space="preserve">Action plan implemented for the current 2025–2026 iteration (the Ascend Anatomy module that began this fall): live lectures replaced with Osmosis videos (under one hour per day; approximately 15 minutes each); active-learning, clinically-focused sessions delivered in quarter-class small groups (e.g., LP planning followed by cadaver demonstration); faculty-to-student ratio in the lab improved by splitting the cohort into morning and afternoon sessions of half the cohort each; faculty office hours daily 3–4 p.m. in Room 1201; daily Blackboard-distributed key-points summaries; AMBOSS quiz questions replaced with faculty-authored Blackboard questions; mid-module practical exam removed (now only multiple-choice mid-module; combined practical + multiple-choice at end); content redistributed for more even weekly load; one explicit day-off in the middle of the module.</w:t>
      </w:r>
    </w:p>
    <w:p>
      <w:pPr>
        <w:spacing w:after="120"/>
      </w:pPr>
      <w:r>
        <w:rPr>
          <w:rFonts w:ascii="Calibri" w:cs="Calibri" w:eastAsia="Calibri" w:hAnsi="Calibri"/>
          <w:sz w:val="22"/>
          <w:szCs w:val="22"/>
        </w:rPr>
        <w:t xml:space="preserve">Dr. Stern, who teaches in the Anatomy module, noted on the record that the structural overhaul of the module for 2025–2026 is so substantial that the legacy/2024–2025 review data and the current iteration are not directly comparable; he stated that there are no longer large-group lectures in the conventional sense, and that the current module relies on small-group sessions and a divided lab structure. Dr. Soriano confirmed that the rationale for the structural changes is the result of the 2024–2025 review now being presented for approval.</w:t>
      </w:r>
    </w:p>
    <w:p>
      <w:pPr>
        <w:pStyle w:val="Heading3"/>
      </w:pPr>
      <w:r>
        <w:rPr>
          <w:rFonts w:ascii="Calibri" w:cs="Calibri" w:eastAsia="Calibri" w:hAnsi="Calibri"/>
        </w:rPr>
        <w:t xml:space="preserve">Module Review — Foundations of Immunology and Microbiology (FIM)</w:t>
      </w:r>
    </w:p>
    <w:p>
      <w:pPr>
        <w:spacing w:after="120"/>
      </w:pPr>
      <w:r>
        <w:rPr>
          <w:rFonts w:ascii="Calibri" w:cs="Calibri" w:eastAsia="Calibri" w:hAnsi="Calibri"/>
          <w:sz w:val="22"/>
          <w:szCs w:val="22"/>
        </w:rPr>
        <w:t xml:space="preserve">FIM is a renamed and combined module integrating the legacy Immunology and legacy Microbiology courses, intended to teach immune cells alongside the bugs they fight in the same instructional period. In the 2024–2025 implementation, faculty teaching improved and clinical relevance and Step 1 preparation were rated favorably; however, workload manageability, objectives clarity, and timeliness of content posting were challenges. The integration of immunology and microbiology in alternating sessions did not work as intended because the two domains require different cognitive approaches (immunology is conceptually based; microbiology is memorization-based). All students passed; 96% scored above 75%; the final grade mean was in the mid-80s.</w:t>
      </w:r>
    </w:p>
    <w:p>
      <w:pPr>
        <w:spacing w:after="120"/>
      </w:pPr>
      <w:r>
        <w:rPr>
          <w:rFonts w:ascii="Calibri" w:cs="Calibri" w:eastAsia="Calibri" w:hAnsi="Calibri"/>
          <w:sz w:val="22"/>
          <w:szCs w:val="22"/>
        </w:rPr>
        <w:t xml:space="preserve">Action plan for the 2025–2026 iteration (starting in approximately two weeks from this meeting): substantial removal of microbiology content from this module, with E. coli and many other organisms moved to organ-system modules where their disease relevance can be taught alongside (e.g., E. coli in the GI module). The module is now approximately 80% immunology and 20% microbiology, with only representative bugs covered (one virus, one gram-positive, one gram-negative). The module structure now teaches a week of basic immunology before introducing representative bugs. Lecture–small-group sequencing has been redesigned to allow lecture content one to two days to “marinate” before the corresponding small group.</w:t>
      </w:r>
    </w:p>
    <w:p>
      <w:pPr>
        <w:pStyle w:val="Heading3"/>
      </w:pPr>
      <w:r>
        <w:rPr>
          <w:rFonts w:ascii="Calibri" w:cs="Calibri" w:eastAsia="Calibri" w:hAnsi="Calibri"/>
        </w:rPr>
        <w:t xml:space="preserve">Module Review — Neuroscience</w:t>
      </w:r>
    </w:p>
    <w:p>
      <w:pPr>
        <w:spacing w:after="120"/>
      </w:pPr>
      <w:r>
        <w:rPr>
          <w:rFonts w:ascii="Calibri" w:cs="Calibri" w:eastAsia="Calibri" w:hAnsi="Calibri"/>
          <w:sz w:val="22"/>
          <w:szCs w:val="22"/>
        </w:rPr>
        <w:t xml:space="preserve">Ascend Neuroscience is a separated module (the legacy Brain and Behavior course covered both neuroscience and psychiatry; the Ascend curriculum separates these). The module length changed from 9 weeks (legacy combined) to 6 weeks (Ascend Neuroscience) plus 3 weeks (Ascend Psychiatry). Action potentials (formerly in cell biology), some neuro-related signaling, and neurologically-oriented infectious diseases (meningitis, encephalitis, prion diseases) were added to Neuroscience for clinical coherence.</w:t>
      </w:r>
    </w:p>
    <w:p>
      <w:pPr>
        <w:spacing w:after="120"/>
      </w:pPr>
      <w:r>
        <w:rPr>
          <w:rFonts w:ascii="Calibri" w:cs="Calibri" w:eastAsia="Calibri" w:hAnsi="Calibri"/>
          <w:sz w:val="22"/>
          <w:szCs w:val="22"/>
        </w:rPr>
        <w:t xml:space="preserve">Strengths: high educational impact; strong clinical relevance; manageable workload; perceived improvement in Step 1 preparation; outstanding faculty teaching from two highly regarded module directors. Gains were observed in 11 of 12 evaluation items; objectives clarity, exam alignment, and Step 1 contribution were all rated highly. All students passed (one student passed on retake; final pass rate 100%); 96% scored above 75%; final grade mean was 84–85. Dr. Leisman characterized this module as a model of the curricular vision.</w:t>
      </w:r>
    </w:p>
    <w:p>
      <w:pPr>
        <w:spacing w:after="120"/>
      </w:pPr>
      <w:r>
        <w:rPr>
          <w:rFonts w:ascii="Calibri" w:cs="Calibri" w:eastAsia="Calibri" w:hAnsi="Calibri"/>
          <w:sz w:val="22"/>
          <w:szCs w:val="22"/>
        </w:rPr>
        <w:t xml:space="preserve">Action plan: continue refining clinical relevance and active-learning integration; balance and monitor content load; refocus on highest-yield content for boards and the neurology clerkship; address timely posting of materials; for all modules in 2025–2026, all CCSGs will now have a graded pre-CCSG assignment to ensure student preparation.</w:t>
      </w:r>
    </w:p>
    <w:p>
      <w:pPr>
        <w:pStyle w:val="Heading3"/>
      </w:pPr>
      <w:r>
        <w:rPr>
          <w:rFonts w:ascii="Calibri" w:cs="Calibri" w:eastAsia="Calibri" w:hAnsi="Calibri"/>
        </w:rPr>
        <w:t xml:space="preserve">Cross-Module Themes</w:t>
      </w:r>
    </w:p>
    <w:p>
      <w:pPr>
        <w:spacing w:after="120"/>
      </w:pPr>
      <w:r>
        <w:rPr>
          <w:rFonts w:ascii="Calibri" w:cs="Calibri" w:eastAsia="Calibri" w:hAnsi="Calibri"/>
          <w:sz w:val="22"/>
          <w:szCs w:val="22"/>
        </w:rPr>
        <w:t xml:space="preserve">Across the three modules, faculty teaching ratings improved in Ascend; clinical relevance scores reached 89% or higher; student perception of Step 1 preparation strengthened; module director engagement remained consistently above 90% on empathy, availability, and responsiveness. Persistent challenges include workload manageability (notably in Anatomy and FIM), organization and flow, and timely posting of materials. Dr. Leisman noted that an additional achievement of the Ascend launch is consistency in level of difficulty across modules: examination averages cluster around 80% across modules, in contrast to the legacy curriculum where module averages ranged from approximately 62% to 96%.</w:t>
      </w:r>
    </w:p>
    <w:p>
      <w:pPr>
        <w:spacing w:after="120"/>
      </w:pPr>
      <w:r>
        <w:rPr>
          <w:rFonts w:ascii="Calibri" w:cs="Calibri" w:eastAsia="Calibri" w:hAnsi="Calibri"/>
          <w:sz w:val="22"/>
          <w:szCs w:val="22"/>
        </w:rPr>
        <w:t xml:space="preserve">Dr. Masi added that across these reviews, students perceive alignment between module objectives, instructional emphasis, and assessment, even where individual sub-scores show areas to improve. She emphasized the substantial faculty workload involved in redesigning every assessment and adopting new instructional methods simultaneously, and observed that the Step 1–preparation gains likely reflect both content alignment and the use of retired Step 1 questions delivered under Step 1–like proctored conditions on a Step 1–like interface.</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Kamthan asked a series of clarifying questions about workload reduction, content redistribution, and what specifically had improved in faculty teaching in Anatomy. Dr. Leisman responded that the 145 instrument captures quantitative data without consistent qualitative supplementation, and Dr. Soriano added that faculty teaching is a multidimensional outcome (clinical application, schedule streamlining, and assessment alignment all contribute).</w:t>
      </w:r>
    </w:p>
    <w:p>
      <w:pPr>
        <w:spacing w:after="120"/>
      </w:pPr>
      <w:r>
        <w:rPr>
          <w:rFonts w:ascii="Calibri" w:cs="Calibri" w:eastAsia="Calibri" w:hAnsi="Calibri"/>
          <w:sz w:val="22"/>
          <w:szCs w:val="22"/>
        </w:rPr>
        <w:t xml:space="preserve">Dr. Stern (a faculty member in Anatomy) emphasized for the record that the 2025–2026 Anatomy module currently running differs structurally from the 2024–2025 module under review, specifically with respect to the elimination of large-group lectures, the small-group format, the divided lab schedule, and daily faculty office hours. He framed this distinction so that committee members would understand that strengths and weaknesses identified in the 2024–2025 review may not all map onto the current iteration.</w:t>
      </w:r>
    </w:p>
    <w:p>
      <w:pPr>
        <w:spacing w:after="120"/>
      </w:pPr>
      <w:r>
        <w:rPr>
          <w:rFonts w:ascii="Calibri" w:cs="Calibri" w:eastAsia="Calibri" w:hAnsi="Calibri"/>
          <w:sz w:val="22"/>
          <w:szCs w:val="22"/>
        </w:rPr>
        <w:t xml:space="preserve">Ms. Merrill commended the module directors and Dr. Leisman for the substantial work involved in incorporating student feedback and integrating content across formerly siloed modules.</w:t>
      </w:r>
    </w:p>
    <w:p>
      <w:pPr>
        <w:spacing w:after="120"/>
      </w:pPr>
      <w:r>
        <w:rPr>
          <w:rFonts w:ascii="Calibri" w:cs="Calibri" w:eastAsia="Calibri" w:hAnsi="Calibri"/>
          <w:sz w:val="22"/>
          <w:szCs w:val="22"/>
        </w:rPr>
        <w:t xml:space="preserve">Dr. Francis asked for clarification on the timing of student survey administration relative to grade release. Dr. Fallar responded that survey forms are released on the last day of the module, with two weeks for completion; some students complete surveys before grade release and some after, and he does not believe student perception of Step 1 preparedness correlates with their grade so much as with their perception of what Step 1 First Aid identifies as relevant.</w:t>
      </w:r>
    </w:p>
    <w:p>
      <w:pPr>
        <w:spacing w:after="120"/>
      </w:pPr>
      <w:r>
        <w:rPr>
          <w:rFonts w:ascii="Calibri" w:cs="Calibri" w:eastAsia="Calibri" w:hAnsi="Calibri"/>
          <w:sz w:val="22"/>
          <w:szCs w:val="22"/>
        </w:rPr>
        <w:t xml:space="preserve">Dr. Soriano introduced an unplanned discussion item regarding the module evaluation survey design and the 50% sample size. With approximately 50% of the cohort surveyed and lower response rates than ideal, evaluations may be swayed by a small number of vocal respondents — a concern given the upcoming LCME visit. Dr. Polydorides asked whether moving to a 100% sample for combined-module courses would result in fewer or more surveys per student in total than under the legacy structure; Dr. Leisman responded that students receive evaluations not only on the module overall but on individual faculty (potentially 30+ surveys per module). Dr. Polydorides supported streamlining of survey questions (some are repetitive), creation of a small set of universally administered core questions plus rotating detailed faculty-specific questions, and avoiding mandatory completion mechanisms tied to grade release. Dr. Parkas suggested a tiered approach: a core set of salient questions delivered to all students, with innovation- or change-oriented questions delivered to a smaller sample. Dr. Soriano confirmed that Dr. Fallar’s Assessment and Evaluation Subcommittee is meeting next week to review survey questions, and that Dr. Masi will participate to identify which questions are LCME-required.</w:t>
      </w:r>
    </w:p>
    <w:p>
      <w:pPr>
        <w:spacing w:after="120"/>
      </w:pPr>
      <w:r>
        <w:rPr>
          <w:rFonts w:ascii="Calibri" w:cs="Calibri" w:eastAsia="Calibri" w:hAnsi="Calibri"/>
          <w:sz w:val="22"/>
          <w:szCs w:val="22"/>
        </w:rPr>
        <w:t xml:space="preserve">Dr. Soriano noted that under current practice every individual lecturer receives an evaluation, which generates substantial volume but is required by faculty for promotion documentation. He raised the catch-22: reducing survey volume helps students but reduces faculty data needed for promotion. Dr. Leisman reported that proposals to exempt single-lecture guests or full professors from evaluation had been resoundingly rejected at the PCCS by module directors, who view the evaluation as the only credit a guest lecturer receives. Dr. Parkas acknowledged the tension and suggested that contact-hour thresholds may be a way to balance the two needs; Dr. Polydorides supported a small set of universal core questions with detailed faculty evaluation distributed to a sample only.</w:t>
      </w:r>
    </w:p>
    <w:p>
      <w:pPr>
        <w:pStyle w:val="Heading3"/>
      </w:pPr>
      <w:r>
        <w:rPr>
          <w:rFonts w:ascii="Calibri" w:cs="Calibri" w:eastAsia="Calibri" w:hAnsi="Calibri"/>
        </w:rPr>
        <w:t xml:space="preserve">Vote — Module Reviews (Anatomy, Foundations of Immunology and Microbiology, Neuroscience)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module reviews for Anatomy, Foundations of Immunology and Microbiology, and Neuroscience for the 2024–2025 academic year, including the documented strengths, challenges, and action plans, with the noted understanding that significant structural changes have already been implemented in the current 2025–2026 iterations of these modules and will be reviewed in subsequent cycles.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explicitly stated in transcript (motion advanced by the Chair, calling for show-of-hands approval)</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explicitly stated in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Show of hands by voting members present at approximately 1:08 p.m.; specific count not stated on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0 (none observed)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Vote could not be concluded at this meeting. Ms. Anand confirmed that the voting members on the call did not reach the required threshold to conclude the vote, as several voting members did not vote despite being asked individually (Dr. Gunasekaran and Dr. Kamthan were specifically named). The Chair, Dr. Francis, ruled that the vote would be sent for asynchronous (email) ratification by the full voting membership following the meeting.</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Vote on Item 6.2 was attempted but could not conclude during the meeting because not all voting members on the call cast a vote. Ms. Anand stated on the record: “we don’t have enough numbers, because we don’t have everyone voting.” The Chair authorized an asynchronous email ratification vote following the meeting (a procedure also used for the AI Usage Policy provisions in late September). For LCME documentation traceability, the asynchronous ratification vote should be documented with member-by-member tally, dates of submission, and the resulting disposition; the canonical, version-stamped approved module reviews should be filed in Curricular Affairs records. This is the second consecutive meeting at which voting workflow issues have been observed (the October 3 meeting noted Dr. Gunasekaran logged as abstain pending eligibility confirmation); the EEC Handbook addendum should incorporate clear procedural guidance on synchronous and asynchronous voting.</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The committee was unable to conclude the vote at this meeting. Ms. Anand committed to sending an asynchronous email ratification vote to all voting members following the meeting. The disposition of the asynchronous vote is anticipated to be reported at the next regular EEC meeting (November 7, 2025).</w:t>
      </w:r>
    </w:p>
    <w:p>
      <w:pPr>
        <w:pStyle w:val="Heading1"/>
      </w:pPr>
      <w:r>
        <w:rPr>
          <w:rFonts w:ascii="Calibri" w:cs="Calibri" w:eastAsia="Calibri" w:hAnsi="Calibri"/>
        </w:rPr>
        <w:t xml:space="preserve">7. Summary of Action Items</w:t>
      </w:r>
    </w:p>
    <w:p>
      <w:pPr>
        <w:spacing w:after="120"/>
      </w:pPr>
      <w:r>
        <w:rPr>
          <w:rFonts w:ascii="Calibri" w:cs="Calibri" w:eastAsia="Calibri" w:hAnsi="Calibri"/>
          <w:sz w:val="22"/>
          <w:szCs w:val="22"/>
        </w:rPr>
        <w:t xml:space="preserve">Each action item carries a defined EEC follow-up date, in alignment with LCME Element 8.1 expectations for documented closure of committee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Conduct asynchronous (email) ratification vote on the three module reviews (Anatomy, FIM, Neuroscience) presented at this meeting; document member-by-member tally and dates of submission.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14 days following this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report disposition of asynchronous vote; file canonical approved reviews in Curricular Affairs records.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8.4 / 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action plans for Anatomy, FIM, and Neuroscience as described in the 2024–2025 module reviews. Anatomy and Neuroscience action plan changes are already implemented for the 2025–2026 iterations now running; FIM changes will be implemented in the iteration starting two weeks from this meeting.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Leisman, MD (PCCS); module directors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Already in implementation through 2025–2026 academic year</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Spring/summer 2026 EEC meetings — review 2025–2026 module data and assess effect of action plan implementation; revisit annually thereafter.</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8.4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Convene the Assessment and Evaluation Subcommittee (planned the following week) to review survey design, including: streamlining of repetitive questions; identification of LCME-required questions (with Dr. Masi participating); consideration of a tiered approach (universal core questions plus rotating or sampled detailed questions); and consideration of whether to retain the 50% random sample or expand to full-cohort administration with adjusted instrument length.</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Fallar, PhD (AES Chair); B. Masi, PhD;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AES meeting in the week following this meeting; recommendation to EEC within 60 days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2025 EEC meeting — review AES recommendations and consider for adoption.</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8.4 / 9.4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Consider mechanisms to balance the dual purpose of evaluations (student feedback signal versus faculty promotion documentation), including potential contact-hour thresholds for individual-lecturer evaluations and a tiered evaluation instrument design. Bring recommendations forward through AES.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Fallar, PhD (AES Chair); R. Soriano, MD;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AES recommendation within 60 days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2025 or January 2026 EEC meeting — review recommendation.</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8.4 / 9.4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Add procedural guidance on synchronous and asynchronous voting (including quorum mechanics, voting workflow, abstention practices, and asynchronous ratification procedures) to the EEC Handbook addendum being prepared by Drs. Soriano and Masi.</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November 7,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review and adopt the addendum.</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the Office of Curricular Affairs sign-in record to confirm precise voting member identification, voting workflow at 1:08 p.m., and quorum count.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November 7,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confirm reconciliation has been completed; publish corrected minutes if needed.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Continue review of remaining foundational and Phase 1 modules (Pathology, MCG, and others) through the same PCCS → CSS → EEC review pathway in the months ahead.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Leisman, MD (PCCS); module directors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Across the 2025–2026 academic year</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 EEC meetings — schedule review of remaining modules.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8.4</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There being no further business and following the determination that the vote on Item 6.2 would proceed asynchronously, Dr. Francis declared the meeting adjourned at approximately 1:09 p.m. ET.</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November 7, 2025 (the first Friday of November).</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October 17, 2025.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October 17,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F6806965-53FA-4325-937F-6117A0B19B8A}"/>
</file>

<file path=customXml/itemProps2.xml><?xml version="1.0" encoding="utf-8"?>
<ds:datastoreItem xmlns:ds="http://schemas.openxmlformats.org/officeDocument/2006/customXml" ds:itemID="{E9B43952-B6A4-4DB7-B19C-0711E57D47EF}"/>
</file>

<file path=customXml/itemProps3.xml><?xml version="1.0" encoding="utf-8"?>
<ds:datastoreItem xmlns:ds="http://schemas.openxmlformats.org/officeDocument/2006/customXml" ds:itemID="{7A5FDA37-8172-4528-A9FB-D745A66E1E7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October 17, 2025</dc:title>
  <dc:creator>Educational Executive Committee</dc:creator>
  <cp:lastModifiedBy>Un-named</cp:lastModifiedBy>
  <cp:revision>1</cp:revision>
  <dcterms:created xsi:type="dcterms:W3CDTF">2026-05-09T02:11:09Z</dcterms:created>
  <dcterms:modified xsi:type="dcterms:W3CDTF">2026-05-09T02:11:09Z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