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November 7,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1:14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 The Chair, Dr. Michelle Francis, presided remotely from Austin, Texas; other members joined from New York.</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 remotely from Austin, TX)</w:t>
      </w:r>
    </w:p>
    <w:p>
      <w:pPr>
        <w:pStyle w:val="ListParagraph"/>
        <w:numPr>
          <w:ilvl w:val="0"/>
          <w:numId w:val="2"/>
        </w:numPr>
        <w:spacing w:after="60"/>
      </w:pPr>
      <w:r>
        <w:rPr>
          <w:rFonts w:ascii="Calibri" w:cs="Calibri" w:eastAsia="Calibri" w:hAnsi="Calibri"/>
          <w:sz w:val="22"/>
          <w:szCs w:val="22"/>
        </w:rPr>
        <w:t xml:space="preserve">Alan Zhang — Student Representative, M2</w:t>
      </w:r>
    </w:p>
    <w:p>
      <w:pPr>
        <w:pStyle w:val="ListParagraph"/>
        <w:numPr>
          <w:ilvl w:val="0"/>
          <w:numId w:val="2"/>
        </w:numPr>
        <w:spacing w:after="60"/>
      </w:pPr>
      <w:r>
        <w:rPr>
          <w:rFonts w:ascii="Calibri" w:cs="Calibri" w:eastAsia="Calibri" w:hAnsi="Calibri"/>
          <w:sz w:val="22"/>
          <w:szCs w:val="22"/>
        </w:rPr>
        <w:t xml:space="preserve">Fari Mbaye — Student Representative, M4</w:t>
      </w:r>
    </w:p>
    <w:p>
      <w:pPr>
        <w:pStyle w:val="ListParagraph"/>
        <w:numPr>
          <w:ilvl w:val="0"/>
          <w:numId w:val="2"/>
        </w:numPr>
        <w:spacing w:after="60"/>
      </w:pPr>
      <w:r>
        <w:rPr>
          <w:rFonts w:ascii="Calibri" w:cs="Calibri" w:eastAsia="Calibri" w:hAnsi="Calibri"/>
          <w:sz w:val="22"/>
          <w:szCs w:val="22"/>
        </w:rPr>
        <w:t xml:space="preserve">Alexandros ("Alexi") Polydorides, MD — Faculty Curricular Leader (Pre-Clerkship)</w:t>
      </w:r>
    </w:p>
    <w:p>
      <w:pPr>
        <w:spacing w:after="120"/>
        <w:rPr>
          <w:i/>
          <w:iCs/>
          <w:sz w:val="20"/>
          <w:szCs w:val="20"/>
        </w:rPr>
      </w:pPr>
      <w:r>
        <w:rPr>
          <w:rFonts w:ascii="Calibri" w:cs="Calibri" w:eastAsia="Calibri" w:hAnsi="Calibri"/>
          <w:i/>
          <w:iCs/>
          <w:sz w:val="20"/>
          <w:szCs w:val="20"/>
        </w:rPr>
        <w:t xml:space="preserve">Additional voting members were present in sufficient number to confirm quorum at the start of the meeting (confirmed by Ms. Anand on the record). Specific identification of each additional voting member could not be reconstructed solely from the transcript without speaker identification limitations being noted.</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 (lead presenter, Items 6.2, 6.3, 6.4)</w:t>
      </w:r>
    </w:p>
    <w:p>
      <w:pPr>
        <w:pStyle w:val="ListParagraph"/>
        <w:numPr>
          <w:ilvl w:val="0"/>
          <w:numId w:val="2"/>
        </w:numPr>
        <w:spacing w:after="60"/>
      </w:pPr>
      <w:r>
        <w:rPr>
          <w:rFonts w:ascii="Calibri" w:cs="Calibri" w:eastAsia="Calibri" w:hAnsi="Calibri"/>
          <w:sz w:val="22"/>
          <w:szCs w:val="22"/>
        </w:rPr>
        <w:t xml:space="preserve">David C. Thomas, MD — Dean for Medical Education</w:t>
      </w:r>
    </w:p>
    <w:p>
      <w:pPr>
        <w:pStyle w:val="ListParagraph"/>
        <w:numPr>
          <w:ilvl w:val="0"/>
          <w:numId w:val="2"/>
        </w:numPr>
        <w:spacing w:after="60"/>
      </w:pPr>
      <w:r>
        <w:rPr>
          <w:rFonts w:ascii="Calibri" w:cs="Calibri" w:eastAsia="Calibri" w:hAnsi="Calibri"/>
          <w:sz w:val="22"/>
          <w:szCs w:val="22"/>
        </w:rPr>
        <w:t xml:space="preserve">Robert ("Rob") Fallar, PhD — Associate Dean for Assessment and Evaluation (lead presenter, Item 6.5)</w:t>
      </w:r>
    </w:p>
    <w:p>
      <w:pPr>
        <w:pStyle w:val="ListParagraph"/>
        <w:numPr>
          <w:ilvl w:val="0"/>
          <w:numId w:val="2"/>
        </w:numPr>
        <w:spacing w:after="60"/>
      </w:pPr>
      <w:r>
        <w:rPr>
          <w:rFonts w:ascii="Calibri" w:cs="Calibri" w:eastAsia="Calibri" w:hAnsi="Calibri"/>
          <w:sz w:val="22"/>
          <w:szCs w:val="22"/>
        </w:rPr>
        <w:t xml:space="preserve">Shashi Anand, MEd — Administrative Lead, Office of Curricular Affairs (Associate Dean for UME)</w:t>
      </w:r>
    </w:p>
    <w:p>
      <w:pPr>
        <w:pStyle w:val="ListParagraph"/>
        <w:numPr>
          <w:ilvl w:val="0"/>
          <w:numId w:val="2"/>
        </w:numPr>
        <w:spacing w:after="60"/>
      </w:pPr>
      <w:r>
        <w:rPr>
          <w:rFonts w:ascii="Calibri" w:cs="Calibri" w:eastAsia="Calibri" w:hAnsi="Calibri"/>
          <w:sz w:val="22"/>
          <w:szCs w:val="22"/>
        </w:rPr>
        <w:t xml:space="preserve">Barbara Masi, PhD — Director, Quality and Curricular Affairs (CQI)</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(recording secretary)</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Zoom transcript identifies certain speakers but not the full roll of voting members present at this meeting. The exact roll of voting members present should be reconciled against the Office of Curricular Affairs sign-in record. As at prior meetings, the committee’s vote tallies confirmed passage of voting items but did not surface speaker-by-speaker counts in the transcript.</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12:05 p.m. ET, immediately upon confirmation of quorum. The Chair welcomed members and noted she was joining remotely from Austin, Texas (apologizing on the record for informal attire).</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Ms. Shashi Anand confirmed quorum on the record (“Yeah, we're at quorum. We can begin.”). The Chair confirmed and proceeded with the agenda. The quorum threshold under the current EEC governance structure is eight (8) voting members.</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Chair noted that the agenda would be presented in a slightly reordered sequence at Dr. Soriano’s request: he had originally been listed to present LCME Standard 7.5 (Societal Problems) first, but asked to defer that item and lead instead with the module reviews of Behavioral Science and Hematology. The Chair concurred, and the agenda proceeded in the revised order.</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October 17, 2025 EEC meeting for approval, inviting questions or corrections. None were raised.</w:t>
      </w:r>
    </w:p>
    <w:p>
      <w:pPr>
        <w:spacing w:after="120"/>
      </w:pPr>
      <w:r>
        <w:rPr>
          <w:rFonts w:ascii="Calibri" w:cs="Calibri" w:eastAsia="Calibri" w:hAnsi="Calibri"/>
          <w:sz w:val="22"/>
          <w:szCs w:val="22"/>
        </w:rPr>
        <w:t xml:space="preserve">Outcome: Minutes from the October 17,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Minutes approval was treated as silent assent / unanimous consent rather than as a formally moved-and-seconded motion with a recorded vote. This pattern is consistent across recent EEC meetings; under the formal procedural codification anticipated in the revised EEC bylaws (carry-forward action item from prior meetings), motion / second / vote-tally practice should be applied consistently going forward.</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The Behavioral Science and Hematology module reviews presented at this meeting (Items 6.2 and 6.3) reflect work performed by the Office of Curricular Affairs in collaboration with the respective module directors, and previously reviewed by the Pre-Clerkship Curriculum Subcommittee (PCCS) chaired by Dr. Staci Leisman, with input from the Office of Assessment and Evaluation and the Director of CQI (Dr. Barbara Masi). Action plans presented to the EEC reflect that subcommittee deliberation. The presenter (Dr. Soriano) noted on the record that Dr. Leisman, the customary presenter for these reviews, was attending an external conference.</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 at this meeting.</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represents the first full EEC review cycle for two Phase 1 organ-system modules — Behavioral Science and Hematology — within the closed-loop CQI process. The reviews follow the schedule established at the October 17, 2025 EEC meeting (Anatomy / Foundations in Medicine / Neuroscience reviews) and continue the systematic module-review pipeline through the Pre-Clerkship Curriculum Subcommittee. The Standard 7.5 vote at this meeting (Item 6.4) updates a list of societal problems that has been operational at this institution since 2019, immediately following the prior LCME accreditation cycle. The GQ informational presentation (Item 6.5) reports outcomes data that is part of the Assessment and Evaluation Subcommittee’s recurring reporting cycle to the EEC.</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October 17, 2025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for disposition; minutes approved by unanimous consent.)</w:t>
      </w:r>
    </w:p>
    <w:p>
      <w:pPr>
        <w:pStyle w:val="Heading2"/>
      </w:pPr>
      <w:r>
        <w:rPr>
          <w:rFonts w:ascii="Calibri" w:cs="Calibri" w:eastAsia="Calibri" w:hAnsi="Calibri"/>
        </w:rPr>
        <w:t xml:space="preserve">6.2  Behavioral Science Module Review and Action Plan (Phase 1, Semester 2)</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 (presenting on behalf of the Pre-Clerkship Curriculum Subcommittee)</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 Curricular Design, Review, Revision, Improvement; 8.4 — Program Evaluation; 8.7 — Comparability of Education / Assessment; 9.4 — Assessment System; 9.7 — Formative Assessment and Feedback; 9.8 — Fair and Timely Summative Assessment</w:t>
      </w:r>
    </w:p>
    <w:p>
      <w:pPr>
        <w:pStyle w:val="Heading3"/>
      </w:pPr>
      <w:r>
        <w:rPr>
          <w:rFonts w:ascii="Calibri" w:cs="Calibri" w:eastAsia="Calibri" w:hAnsi="Calibri"/>
        </w:rPr>
        <w:t xml:space="preserve">Background and Process</w:t>
      </w:r>
    </w:p>
    <w:p>
      <w:pPr>
        <w:spacing w:after="120"/>
      </w:pPr>
      <w:r>
        <w:rPr>
          <w:rFonts w:ascii="Calibri" w:cs="Calibri" w:eastAsia="Calibri" w:hAnsi="Calibri"/>
          <w:sz w:val="22"/>
          <w:szCs w:val="22"/>
        </w:rPr>
        <w:t xml:space="preserve">Dr. Soriano introduced the module review process: each module review is first conducted by the Office of Curricular Affairs in conjunction with the module director, with input from the Office of Assessment and Evaluation and the Director of CQI (Dr. Barbara Masi). Action plans are then developed, presented at the Pre-Clerkship Curriculum Subcommittee (chaired by Dr. Staci Leisman), reviewed by the Curriculum Steering Committee, and finally brought to the EEC for vote. The full report was distributed to EEC membership approximately 1.5 weeks in advance of this meeting. Dr. Soriano described his presentation as a high-level summary of those committee discussions, with the EEC vote being either agreement or additional suggestions to the action plan. Behavioral Science is positioned in early Semester 2 of Phase 1; the module is the second iteration under the same module director (a new appointee, second cycle).</w:t>
      </w:r>
    </w:p>
    <w:p>
      <w:pPr>
        <w:pStyle w:val="Heading3"/>
      </w:pPr>
      <w:r>
        <w:rPr>
          <w:rFonts w:ascii="Calibri" w:cs="Calibri" w:eastAsia="Calibri" w:hAnsi="Calibri"/>
        </w:rPr>
        <w:t xml:space="preserve">Performance and Student Feedback</w:t>
      </w:r>
    </w:p>
    <w:p>
      <w:pPr>
        <w:spacing w:after="120"/>
      </w:pPr>
      <w:r>
        <w:rPr>
          <w:rFonts w:ascii="Calibri" w:cs="Calibri" w:eastAsia="Calibri" w:hAnsi="Calibri"/>
          <w:sz w:val="22"/>
          <w:szCs w:val="22"/>
        </w:rPr>
        <w:t xml:space="preserve">Behavioral Science continues to be one of the strongest modules in Phase 1. Student ratings on organization, clarity, and clinical relevance were 90%+. Faculty accessibility was rated approximately 95%. All students passed the module (100% pass rate); grade distribution was tight, mean and median performance consistent with expectations. The heat map comparing the Ascend Behavioral Science module to the legacy Brain &amp; Behavior course was mixed (red and green): legacy combined behavioral and neuroscience content into a single module, whereas the Ascend curriculum separates them. Educational impact, clinical relevance, and timely posting of materials all improved modestly under Ascend; Step 1 preparation ratings were notably higher. Faculty teaching organization scored lower (attributed to comparison with the unified legacy course).</w:t>
      </w:r>
    </w:p>
    <w:p>
      <w:pPr>
        <w:pStyle w:val="Heading3"/>
      </w:pPr>
      <w:r>
        <w:rPr>
          <w:rFonts w:ascii="Calibri" w:cs="Calibri" w:eastAsia="Calibri" w:hAnsi="Calibri"/>
        </w:rPr>
        <w:t xml:space="preserve">Student Concerns Identified</w:t>
      </w:r>
    </w:p>
    <w:p>
      <w:pPr>
        <w:pStyle w:val="ListParagraph"/>
        <w:numPr>
          <w:ilvl w:val="0"/>
          <w:numId w:val="2"/>
        </w:numPr>
        <w:spacing w:after="60"/>
      </w:pPr>
      <w:r>
        <w:rPr>
          <w:rFonts w:ascii="Calibri" w:cs="Calibri" w:eastAsia="Calibri" w:hAnsi="Calibri"/>
          <w:sz w:val="22"/>
          <w:szCs w:val="22"/>
        </w:rPr>
        <w:t xml:space="preserve">Approximately one-third of students wanted a clearer bridge between lectures and the Clinical Correlation Small Groups (CCSGs); CCSGs are intended to be the application setting for foundational concepts taught in lecture.</w:t>
      </w:r>
    </w:p>
    <w:p>
      <w:pPr>
        <w:pStyle w:val="ListParagraph"/>
        <w:numPr>
          <w:ilvl w:val="0"/>
          <w:numId w:val="2"/>
        </w:numPr>
        <w:spacing w:after="60"/>
      </w:pPr>
      <w:r>
        <w:rPr>
          <w:rFonts w:ascii="Calibri" w:cs="Calibri" w:eastAsia="Calibri" w:hAnsi="Calibri"/>
          <w:sz w:val="22"/>
          <w:szCs w:val="22"/>
        </w:rPr>
        <w:t xml:space="preserve">Approximately 20% of students noted redundancy and pacing concerns relative to the prior Behavioral Neuroscience module.</w:t>
      </w:r>
    </w:p>
    <w:p>
      <w:pPr>
        <w:pStyle w:val="ListParagraph"/>
        <w:numPr>
          <w:ilvl w:val="0"/>
          <w:numId w:val="2"/>
        </w:numPr>
        <w:spacing w:after="60"/>
      </w:pPr>
      <w:r>
        <w:rPr>
          <w:rFonts w:ascii="Calibri" w:cs="Calibri" w:eastAsia="Calibri" w:hAnsi="Calibri"/>
          <w:sz w:val="22"/>
          <w:szCs w:val="22"/>
        </w:rPr>
        <w:t xml:space="preserve">A smaller group of students requested greater transparency on exam structure.</w:t>
      </w:r>
    </w:p>
    <w:p>
      <w:pPr>
        <w:pStyle w:val="Heading3"/>
      </w:pPr>
      <w:r>
        <w:rPr>
          <w:rFonts w:ascii="Calibri" w:cs="Calibri" w:eastAsia="Calibri" w:hAnsi="Calibri"/>
        </w:rPr>
        <w:t xml:space="preserve">Action Plan (to be enacted Spring 2026)</w:t>
      </w:r>
    </w:p>
    <w:p>
      <w:pPr>
        <w:pStyle w:val="ListParagraph"/>
        <w:numPr>
          <w:ilvl w:val="0"/>
          <w:numId w:val="2"/>
        </w:numPr>
        <w:spacing w:after="60"/>
      </w:pPr>
      <w:r>
        <w:rPr>
          <w:rFonts w:ascii="Calibri" w:cs="Calibri" w:eastAsia="Calibri" w:hAnsi="Calibri"/>
          <w:sz w:val="22"/>
          <w:szCs w:val="22"/>
        </w:rPr>
        <w:t xml:space="preserve">Resequence lectures and increase the proportion of high-yield behavioral content relative to research-oriented content (responsive to student comments that some lectures emphasized Mount Sinai-specific work over Step 1–aligned content).</w:t>
      </w:r>
    </w:p>
    <w:p>
      <w:pPr>
        <w:pStyle w:val="ListParagraph"/>
        <w:numPr>
          <w:ilvl w:val="0"/>
          <w:numId w:val="2"/>
        </w:numPr>
        <w:spacing w:after="60"/>
      </w:pPr>
      <w:r>
        <w:rPr>
          <w:rFonts w:ascii="Calibri" w:cs="Calibri" w:eastAsia="Calibri" w:hAnsi="Calibri"/>
          <w:sz w:val="22"/>
          <w:szCs w:val="22"/>
        </w:rPr>
        <w:t xml:space="preserve">Increase patient video cases and update older video material in current use.</w:t>
      </w:r>
    </w:p>
    <w:p>
      <w:pPr>
        <w:pStyle w:val="ListParagraph"/>
        <w:numPr>
          <w:ilvl w:val="0"/>
          <w:numId w:val="2"/>
        </w:numPr>
        <w:spacing w:after="60"/>
      </w:pPr>
      <w:r>
        <w:rPr>
          <w:rFonts w:ascii="Calibri" w:cs="Calibri" w:eastAsia="Calibri" w:hAnsi="Calibri"/>
          <w:sz w:val="22"/>
          <w:szCs w:val="22"/>
        </w:rPr>
        <w:t xml:space="preserve">Address redundancy between CCSGs and the Practice of Medicine module — in particular, the mental status examination session and presentations by clinical faculty with mental health expertise (already covered in POM).</w:t>
      </w:r>
    </w:p>
    <w:p>
      <w:pPr>
        <w:pStyle w:val="ListParagraph"/>
        <w:numPr>
          <w:ilvl w:val="0"/>
          <w:numId w:val="2"/>
        </w:numPr>
        <w:spacing w:after="60"/>
      </w:pPr>
      <w:r>
        <w:rPr>
          <w:rFonts w:ascii="Calibri" w:cs="Calibri" w:eastAsia="Calibri" w:hAnsi="Calibri"/>
          <w:sz w:val="22"/>
          <w:szCs w:val="22"/>
        </w:rPr>
        <w:t xml:space="preserve">Spread lectures more evenly over the 3-week block to reduce high-density days (acknowledging that lecture density is sometimes constrained by faculty availability).</w:t>
      </w:r>
    </w:p>
    <w:p>
      <w:pPr>
        <w:pStyle w:val="ListParagraph"/>
        <w:numPr>
          <w:ilvl w:val="0"/>
          <w:numId w:val="2"/>
        </w:numPr>
        <w:spacing w:after="60"/>
      </w:pPr>
      <w:r>
        <w:rPr>
          <w:rFonts w:ascii="Calibri" w:cs="Calibri" w:eastAsia="Calibri" w:hAnsi="Calibri"/>
          <w:sz w:val="22"/>
          <w:szCs w:val="22"/>
        </w:rPr>
        <w:t xml:space="preserve">Incorporate more racism / bias and LGBTQ+ content where pedagogically appropriate.</w:t>
      </w:r>
    </w:p>
    <w:p>
      <w:pPr>
        <w:pStyle w:val="ListParagraph"/>
        <w:numPr>
          <w:ilvl w:val="0"/>
          <w:numId w:val="2"/>
        </w:numPr>
        <w:spacing w:after="60"/>
      </w:pPr>
      <w:r>
        <w:rPr>
          <w:rFonts w:ascii="Calibri" w:cs="Calibri" w:eastAsia="Calibri" w:hAnsi="Calibri"/>
          <w:sz w:val="22"/>
          <w:szCs w:val="22"/>
        </w:rPr>
        <w:t xml:space="preserve">Modify CCSG prompts within the constraints of the AMBOSS platform and CAS examinations.</w:t>
      </w:r>
    </w:p>
    <w:p>
      <w:pPr>
        <w:pStyle w:val="Heading3"/>
      </w:pPr>
      <w:r>
        <w:rPr>
          <w:rFonts w:ascii="Calibri" w:cs="Calibri" w:eastAsia="Calibri" w:hAnsi="Calibri"/>
        </w:rPr>
        <w:t xml:space="preserve">Member Discussion — Assessment Transparency</w:t>
      </w:r>
    </w:p>
    <w:p>
      <w:pPr>
        <w:spacing w:after="120"/>
      </w:pPr>
      <w:r>
        <w:rPr>
          <w:rFonts w:ascii="Calibri" w:cs="Calibri" w:eastAsia="Calibri" w:hAnsi="Calibri"/>
          <w:sz w:val="22"/>
          <w:szCs w:val="22"/>
        </w:rPr>
        <w:t xml:space="preserve">Dr. Barbara Masi raised the concept of “assessment transparency,” noting that survey data showed 88–94% of students agreed that exams aligned with the priority topics covered. She suggested the underlying issue is the major faculty transition from designing exam questions de novo to selecting questions from the AMBOSS platform, and how to better synchronize what is taught with the kinds of practice questions students receive.</w:t>
      </w:r>
    </w:p>
    <w:p>
      <w:pPr>
        <w:spacing w:after="120"/>
      </w:pPr>
      <w:r>
        <w:rPr>
          <w:rFonts w:ascii="Calibri" w:cs="Calibri" w:eastAsia="Calibri" w:hAnsi="Calibri"/>
          <w:sz w:val="22"/>
          <w:szCs w:val="22"/>
        </w:rPr>
        <w:t xml:space="preserve">Dr. Alexandros Polydorides noted that AMBOSS is not usable for his pathology module because the questions assume too much downstream clinical context (e.g., questions assume hypertension knowledge before it has been taught) — he therefore continues to write his own quiz questions, with the NBME / CAS retired-question bank serving as the final exam source. Students perceive a disconnect between his quizzes and the final, although overall scores and module evaluations are strong.</w:t>
      </w:r>
    </w:p>
    <w:p>
      <w:pPr>
        <w:spacing w:after="120"/>
      </w:pPr>
      <w:r>
        <w:rPr>
          <w:rFonts w:ascii="Calibri" w:cs="Calibri" w:eastAsia="Calibri" w:hAnsi="Calibri"/>
          <w:sz w:val="22"/>
          <w:szCs w:val="22"/>
        </w:rPr>
        <w:t xml:space="preserve">Dr. Soriano provided context for the committee: AMBOSS is the institution’s designated external Step 1 preparation platform (analogous in function to Boards &amp; Beyond and First Aid). A core principle of the Ascend curriculum is to minimize the gap between the formal curriculum and the parallel “hidden” curriculum (independent Step 1 preparation), so that students do not have to study two ways. In practice: foundational modules (immunology, MCG, anatomy, microbiology, pathology) use Blackboard-style homegrown quizzes; organ-system modules (neuroscience through MSK) are required to use AMBOSS questions to align with the Ascend principle. The CAS (Customized Assessment Service) is a database of retired NBME Step 1 questions; module directors searching that bank gain insight both into Step 1 content emphasis and into question style, which can in turn inform their own question-writing for foundational courses.</w:t>
      </w:r>
    </w:p>
    <w:p>
      <w:pPr>
        <w:spacing w:after="120"/>
      </w:pPr>
      <w:r>
        <w:rPr>
          <w:rFonts w:ascii="Calibri" w:cs="Calibri" w:eastAsia="Calibri" w:hAnsi="Calibri"/>
          <w:sz w:val="22"/>
          <w:szCs w:val="22"/>
        </w:rPr>
        <w:t xml:space="preserve">Ms. Fari Mbaye asked a clarifying question about whether the disconnect was driven by module directors learning to write NBME-style questions; Dr. Soriano clarified that the small percentage of disconnect comments referred more to the smaller IRAT-style assessments rather than to major exams — and that clinical relevance and Step 1 alignment ratings were in the 90s.</w:t>
      </w:r>
    </w:p>
    <w:p>
      <w:pPr>
        <w:spacing w:after="120"/>
      </w:pPr>
      <w:r>
        <w:rPr>
          <w:rFonts w:ascii="Calibri" w:cs="Calibri" w:eastAsia="Calibri" w:hAnsi="Calibri"/>
          <w:sz w:val="22"/>
          <w:szCs w:val="22"/>
        </w:rPr>
        <w:t xml:space="preserve">Mr. Alan Zhang stated his agreement with the action plan, noting that as a student who completed both modules under review, the presentation aligned with his own experience and with feedback he had heard from peers and from module representatives in his role as class representative.</w:t>
      </w:r>
    </w:p>
    <w:p>
      <w:pPr>
        <w:pStyle w:val="Heading3"/>
      </w:pPr>
      <w:r>
        <w:rPr>
          <w:rFonts w:ascii="Calibri" w:cs="Calibri" w:eastAsia="Calibri" w:hAnsi="Calibri"/>
        </w:rPr>
        <w:t xml:space="preserve">Vote — Behavioral Science Module Review and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Behavioral Science module review for the academic year just completed, including the documented student feedback, performance data, comparison to the legacy Brain &amp; Behavior module, and the action plan to be enacted Spring 2026.</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 The Chair called for a show-of-hands vote following discussion.</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 Specific tally not surfaced in the transcript; Ms. Anand confirmed: “Yeah, we’re all set.”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were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Behavioral Science module review and action plan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Vote was conducted by show of hands. The Chair acknowledged on the record that her phone display made it difficult to count hands; quorum and approval were confirmed by Ms. Anand. Specific tally of yeas, nays, and abstentions was not surfaced in the transcript. Reconciliation against the Office of Curricular Affairs voting roll is recommended for the formal record.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action plan will be enacted in Spring 2026. The module director and the Pre-Clerkship Curriculum Subcommittee will track impact and bring the next annual review to the EEC within the standard cycle.</w:t>
      </w:r>
    </w:p>
    <w:p>
      <w:pPr>
        <w:pStyle w:val="Heading2"/>
      </w:pPr>
      <w:r>
        <w:rPr>
          <w:rFonts w:ascii="Calibri" w:cs="Calibri" w:eastAsia="Calibri" w:hAnsi="Calibri"/>
        </w:rPr>
        <w:t xml:space="preserve">6.3  Hematology Module Review and Action Plan (Phase 1, Semester 2)</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8.4, 8.7, 9.4, 9.7, 9.8 (as Item 6.2)</w:t>
      </w:r>
    </w:p>
    <w:p>
      <w:pPr>
        <w:pStyle w:val="Heading3"/>
      </w:pPr>
      <w:r>
        <w:rPr>
          <w:rFonts w:ascii="Calibri" w:cs="Calibri" w:eastAsia="Calibri" w:hAnsi="Calibri"/>
        </w:rPr>
        <w:t xml:space="preserve">Performance and Student Feedback</w:t>
      </w:r>
    </w:p>
    <w:p>
      <w:pPr>
        <w:spacing w:after="120"/>
      </w:pPr>
      <w:r>
        <w:rPr>
          <w:rFonts w:ascii="Calibri" w:cs="Calibri" w:eastAsia="Calibri" w:hAnsi="Calibri"/>
          <w:sz w:val="22"/>
          <w:szCs w:val="22"/>
        </w:rPr>
        <w:t xml:space="preserve">Hematology is one of the highest-performing Phase 1 modules. Dr. Hannah Levvy is the new module director, having succeeded a long-tenured legacy course director (Dr. Eileen Sigliano); Dr. Soriano commented that Dr. Levvy has filled the role very well. Nearly every metric remained above 90%; teaching, director accessibility, and clinical relevance were rated at the top of the scale. Mean and median performance scores were in the mid-80s; one student is pending a retake; otherwise every student passed. Compared to legacy hematology, the Ascend module heat map is predominantly green, with the strong baseline largely maintained.</w:t>
      </w:r>
    </w:p>
    <w:p>
      <w:pPr>
        <w:pStyle w:val="Heading3"/>
      </w:pPr>
      <w:r>
        <w:rPr>
          <w:rFonts w:ascii="Calibri" w:cs="Calibri" w:eastAsia="Calibri" w:hAnsi="Calibri"/>
        </w:rPr>
        <w:t xml:space="preserve">Student Concerns Identified</w:t>
      </w:r>
    </w:p>
    <w:p>
      <w:pPr>
        <w:pStyle w:val="ListParagraph"/>
        <w:numPr>
          <w:ilvl w:val="0"/>
          <w:numId w:val="2"/>
        </w:numPr>
        <w:spacing w:after="60"/>
      </w:pPr>
      <w:r>
        <w:rPr>
          <w:rFonts w:ascii="Calibri" w:cs="Calibri" w:eastAsia="Calibri" w:hAnsi="Calibri"/>
          <w:sz w:val="22"/>
          <w:szCs w:val="22"/>
        </w:rPr>
        <w:t xml:space="preserve">Approximately 40% of students felt the workload was heavy for the 3-week block.</w:t>
      </w:r>
    </w:p>
    <w:p>
      <w:pPr>
        <w:pStyle w:val="ListParagraph"/>
        <w:numPr>
          <w:ilvl w:val="0"/>
          <w:numId w:val="2"/>
        </w:numPr>
        <w:spacing w:after="60"/>
      </w:pPr>
      <w:r>
        <w:rPr>
          <w:rFonts w:ascii="Calibri" w:cs="Calibri" w:eastAsia="Calibri" w:hAnsi="Calibri"/>
          <w:sz w:val="22"/>
          <w:szCs w:val="22"/>
        </w:rPr>
        <w:t xml:space="preserve">Several students pointed to uneven pacing or redundancy between lectures and TBLs (Team-Based Learning sessions). [The transcript briefly used the term “CCSGs” in this context; Mr. Zhang asked a clarifying question (see Discussion below) and confirmed that hematology uses TBLs, not CCSGs.]</w:t>
      </w:r>
    </w:p>
    <w:p>
      <w:pPr>
        <w:pStyle w:val="ListParagraph"/>
        <w:numPr>
          <w:ilvl w:val="0"/>
          <w:numId w:val="2"/>
        </w:numPr>
        <w:spacing w:after="60"/>
      </w:pPr>
      <w:r>
        <w:rPr>
          <w:rFonts w:ascii="Calibri" w:cs="Calibri" w:eastAsia="Calibri" w:hAnsi="Calibri"/>
          <w:sz w:val="22"/>
          <w:szCs w:val="22"/>
        </w:rPr>
        <w:t xml:space="preserve">A smaller group of students requested clearer exam expectations, mirroring the Behavioral Science pattern.</w:t>
      </w:r>
    </w:p>
    <w:p>
      <w:pPr>
        <w:pStyle w:val="Heading3"/>
      </w:pPr>
      <w:r>
        <w:rPr>
          <w:rFonts w:ascii="Calibri" w:cs="Calibri" w:eastAsia="Calibri" w:hAnsi="Calibri"/>
        </w:rPr>
        <w:t xml:space="preserve">Action Plan</w:t>
      </w:r>
    </w:p>
    <w:p>
      <w:pPr>
        <w:pStyle w:val="ListParagraph"/>
        <w:numPr>
          <w:ilvl w:val="0"/>
          <w:numId w:val="2"/>
        </w:numPr>
        <w:spacing w:after="60"/>
      </w:pPr>
      <w:r>
        <w:rPr>
          <w:rFonts w:ascii="Calibri" w:cs="Calibri" w:eastAsia="Calibri" w:hAnsi="Calibri"/>
          <w:sz w:val="22"/>
          <w:szCs w:val="22"/>
        </w:rPr>
        <w:t xml:space="preserve">Maintain the Wednesday TBL structure based on student preference. The module director had considered moving TBLs to Friday (paired with Friday–Sunday quiz availability), but feedback indicated that students prefer to keep TBL on Wednesday.</w:t>
      </w:r>
    </w:p>
    <w:p>
      <w:pPr>
        <w:pStyle w:val="ListParagraph"/>
        <w:numPr>
          <w:ilvl w:val="0"/>
          <w:numId w:val="2"/>
        </w:numPr>
        <w:spacing w:after="60"/>
      </w:pPr>
      <w:r>
        <w:rPr>
          <w:rFonts w:ascii="Calibri" w:cs="Calibri" w:eastAsia="Calibri" w:hAnsi="Calibri"/>
          <w:sz w:val="22"/>
          <w:szCs w:val="22"/>
        </w:rPr>
        <w:t xml:space="preserve">Simplify the IRAT (Individual Readiness Assurance Test) questions — students found these difficult; the goal is to align IRAT questions more closely with the AMBOSS or NBME style and to function as appropriate setup for the TBL discussion.</w:t>
      </w:r>
    </w:p>
    <w:p>
      <w:pPr>
        <w:pStyle w:val="ListParagraph"/>
        <w:numPr>
          <w:ilvl w:val="0"/>
          <w:numId w:val="2"/>
        </w:numPr>
        <w:spacing w:after="60"/>
      </w:pPr>
      <w:r>
        <w:rPr>
          <w:rFonts w:ascii="Calibri" w:cs="Calibri" w:eastAsia="Calibri" w:hAnsi="Calibri"/>
          <w:sz w:val="22"/>
          <w:szCs w:val="22"/>
        </w:rPr>
        <w:t xml:space="preserve">Reduce early-block anxiety driven by IRAT difficulty.</w:t>
      </w:r>
    </w:p>
    <w:p>
      <w:pPr>
        <w:pStyle w:val="ListParagraph"/>
        <w:numPr>
          <w:ilvl w:val="0"/>
          <w:numId w:val="2"/>
        </w:numPr>
        <w:spacing w:after="60"/>
      </w:pPr>
      <w:r>
        <w:rPr>
          <w:rFonts w:ascii="Calibri" w:cs="Calibri" w:eastAsia="Calibri" w:hAnsi="Calibri"/>
          <w:sz w:val="22"/>
          <w:szCs w:val="22"/>
        </w:rPr>
        <w:t xml:space="preserve">Continue refinement of AMBOSS question selection given platform limitations.</w:t>
      </w:r>
    </w:p>
    <w:p>
      <w:pPr>
        <w:pStyle w:val="ListParagraph"/>
        <w:numPr>
          <w:ilvl w:val="0"/>
          <w:numId w:val="2"/>
        </w:numPr>
        <w:spacing w:after="60"/>
      </w:pPr>
      <w:r>
        <w:rPr>
          <w:rFonts w:ascii="Calibri" w:cs="Calibri" w:eastAsia="Calibri" w:hAnsi="Calibri"/>
          <w:sz w:val="22"/>
          <w:szCs w:val="22"/>
        </w:rPr>
        <w:t xml:space="preserve">Add additional NBME questions to ensure coverage of core hematology topics.</w:t>
      </w:r>
    </w:p>
    <w:p>
      <w:pPr>
        <w:pStyle w:val="ListParagraph"/>
        <w:numPr>
          <w:ilvl w:val="0"/>
          <w:numId w:val="2"/>
        </w:numPr>
        <w:spacing w:after="60"/>
      </w:pPr>
      <w:r>
        <w:rPr>
          <w:rFonts w:ascii="Calibri" w:cs="Calibri" w:eastAsia="Calibri" w:hAnsi="Calibri"/>
          <w:sz w:val="22"/>
          <w:szCs w:val="22"/>
        </w:rPr>
        <w:t xml:space="preserve">The module director is reviewing and considering revising the assessment weight distribution — reflecting the combined effect of IRAT difficulty, related anxiety, and the current 30% IRAT weight in the final grade.</w:t>
      </w:r>
    </w:p>
    <w:p>
      <w:pPr>
        <w:pStyle w:val="ListParagraph"/>
        <w:numPr>
          <w:ilvl w:val="0"/>
          <w:numId w:val="2"/>
        </w:numPr>
        <w:spacing w:after="60"/>
      </w:pPr>
      <w:r>
        <w:rPr>
          <w:rFonts w:ascii="Calibri" w:cs="Calibri" w:eastAsia="Calibri" w:hAnsi="Calibri"/>
          <w:sz w:val="22"/>
          <w:szCs w:val="22"/>
        </w:rPr>
        <w:t xml:space="preserve">Integrate microbiology content closer to the Friday review session rather than Friday afternoons.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Mr. Alan Zhang raised a clarifying question on the action-plan slide regarding “tighter linkage between lectures and CCSGs,” noting that hematology uses TBLs, not CCSGs. Dr. Soriano confirmed the slide should read “lectures and TBLs” and thanked Mr. Zhang for the careful reading.</w:t>
      </w:r>
    </w:p>
    <w:p>
      <w:pPr>
        <w:spacing w:after="120"/>
      </w:pPr>
      <w:r>
        <w:rPr>
          <w:rFonts w:ascii="Calibri" w:cs="Calibri" w:eastAsia="Calibri" w:hAnsi="Calibri"/>
          <w:sz w:val="22"/>
          <w:szCs w:val="22"/>
        </w:rPr>
        <w:t xml:space="preserve">Dr. Soriano also presented summary takeaways across both modules: shared strengths include high student satisfaction, strong performance and outcomes, teaching quality, faculty accessibility, and clinical integration. Shared challenges include workload density, uneven pacing, and the need for clearer sequencing among lectures — elements that contribute to extraneous cognitive load. The CQI focus is on pacing, session integration, and assessment transparency rather than on content remediation.</w:t>
      </w:r>
    </w:p>
    <w:p>
      <w:pPr>
        <w:pStyle w:val="Heading3"/>
      </w:pPr>
      <w:r>
        <w:rPr>
          <w:rFonts w:ascii="Calibri" w:cs="Calibri" w:eastAsia="Calibri" w:hAnsi="Calibri"/>
        </w:rPr>
        <w:t xml:space="preserve">Vote — Hematology Module Review and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Hematology module review for the academic year just completed, including documented student feedback, performance data, comparison to the legacy module, and the action plan.</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 Ms. Anand confirmed: “It passes.”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were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Hematology module review and action plan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As with Item 6.2, the show-of-hands vote count was not surfaced in the transcript. The Chair confirmed passage with Ms. Anand on the record. Reconciliation against the Office of Curricular Affairs voting roll is recommended.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Pre-Clerkship Curriculum Subcommittee will oversee implementation of the action plan, with the next annual review brought to the EEC within the standard CQI cycle.</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Items 6.2 and 6.3 demonstrate the EEC’s closed-loop CQI process for Phase 1 organ-system modules. The pipeline established at the October 17, 2025 EEC meeting (Anatomy / FIM / Neuroscience reviews) continues here with two further modules from early Semester 2. Each review compares Ascend performance to the corresponding legacy module via heat map, identifies actionable gaps from student feedback, develops a structured action plan through PCCS deliberation, and brings that plan to the EEC for vote. Action plan implementation is tracked through to the next annual review, closing the loop. This pattern is the documented model the EEC will continue to apply across the remaining Phase 1 modules.</w:t>
      </w:r>
    </w:p>
    <w:p>
      <w:pPr>
        <w:pStyle w:val="Heading2"/>
      </w:pPr>
      <w:r>
        <w:rPr>
          <w:rFonts w:ascii="Calibri" w:cs="Calibri" w:eastAsia="Calibri" w:hAnsi="Calibri"/>
        </w:rPr>
        <w:t xml:space="preserve">6.4  LCME Standard 7.5 — Five Societal Problems for the MD Curriculum</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(presented with explicit caveat regarding pending LCME Standard 7 redesign)</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7.5 — Societal Problems (current standard); LCME Standard 7 (overall) is undergoing structural revision affecting AY 2027–2028 accreditation cycle (see Caveat below)</w:t>
      </w:r>
    </w:p>
    <w:p>
      <w:pPr>
        <w:pStyle w:val="Heading3"/>
      </w:pPr>
      <w:r>
        <w:rPr>
          <w:rFonts w:ascii="Calibri" w:cs="Calibri" w:eastAsia="Calibri" w:hAnsi="Calibri"/>
        </w:rPr>
        <w:t xml:space="preserve">LCME Standard 7.5 — Requirement and Pending Revision</w:t>
      </w:r>
    </w:p>
    <w:p>
      <w:pPr>
        <w:spacing w:after="120"/>
      </w:pPr>
      <w:r>
        <w:rPr>
          <w:rFonts w:ascii="Calibri" w:cs="Calibri" w:eastAsia="Calibri" w:hAnsi="Calibri"/>
          <w:sz w:val="22"/>
          <w:szCs w:val="22"/>
        </w:rPr>
        <w:t xml:space="preserve">Standard 7.5 currently requires that a medical education program include instruction on common societal problems and their impact on patients, communities, and the healthcare system. The program must select five focus problems (common and societal), demonstrate longitudinal integration in the curriculum, and provide evidence of assessment of student acquisition of related knowledge, skills, and attitudes within a CQI framework.</w:t>
      </w:r>
    </w:p>
    <w:p>
      <w:pPr>
        <w:spacing w:after="120"/>
      </w:pPr>
      <w:r>
        <w:rPr>
          <w:rFonts w:ascii="Calibri" w:cs="Calibri" w:eastAsia="Calibri" w:hAnsi="Calibri"/>
          <w:sz w:val="22"/>
          <w:szCs w:val="22"/>
        </w:rPr>
        <w:t xml:space="preserve">Dr. Soriano presented this item with an explicit caveat. At the recent AAMC meeting in San Antonio, which Dr. Soriano and Dr. Masi attended, the LCME announced plans to restructure Standard 7 — reducing it from 11 elements to 7, with Standard 7.5 (Societal Problems) subsumed within another element rather than continuing as a standalone requirement. Dr. Masi added that the revised Standard 7 language is still out for community feedback (with formal language not expected until spring), that the revised structure will be part of the school’s AY 2027–2028 accreditation cycle, and that LCME indicated the new approach would not look at societal problems as lists — they would be incorporated into language around patient, community, and healthcare context. Dr. Thomas (Dean for Medical Education) is engaged through the Council of Deans on feedback to the Standard 7 changes.</w:t>
      </w:r>
    </w:p>
    <w:p>
      <w:pPr>
        <w:spacing w:after="120"/>
      </w:pPr>
      <w:r>
        <w:rPr>
          <w:rFonts w:ascii="Calibri" w:cs="Calibri" w:eastAsia="Calibri" w:hAnsi="Calibri"/>
          <w:sz w:val="22"/>
          <w:szCs w:val="22"/>
        </w:rPr>
        <w:t xml:space="preserve">In light of the pending revision, Dr. Soriano framed the EEC vote as an opportunity to either approve the proposed five societal problems for current curricular use or to suggest additional / alternative problems for committee discussion.</w:t>
      </w:r>
    </w:p>
    <w:p>
      <w:pPr>
        <w:pStyle w:val="Heading3"/>
      </w:pPr>
      <w:r>
        <w:rPr>
          <w:rFonts w:ascii="Calibri" w:cs="Calibri" w:eastAsia="Calibri" w:hAnsi="Calibri"/>
        </w:rPr>
        <w:t xml:space="preserve">Background — Prior Five Societal Problems (in effect since 2019)</w:t>
      </w:r>
    </w:p>
    <w:p>
      <w:pPr>
        <w:spacing w:after="120"/>
      </w:pPr>
      <w:r>
        <w:rPr>
          <w:rFonts w:ascii="Calibri" w:cs="Calibri" w:eastAsia="Calibri" w:hAnsi="Calibri"/>
          <w:sz w:val="22"/>
          <w:szCs w:val="22"/>
        </w:rPr>
        <w:t xml:space="preserve">Since 2019 — immediately following the prior LCME accreditation cycle — the school has had five operational societal problems in the curriculum: racism and bias; LGBTQ+ health; pain and the opioid epidemic; human rights; and healthcare disparities in East Harlem and beyond. Dr. Soriano observed on the record the difficult and challenging nature of these problems in the current era, motivating the re-examination.</w:t>
      </w:r>
    </w:p>
    <w:p>
      <w:pPr>
        <w:pStyle w:val="Heading3"/>
      </w:pPr>
      <w:r>
        <w:rPr>
          <w:rFonts w:ascii="Calibri" w:cs="Calibri" w:eastAsia="Calibri" w:hAnsi="Calibri"/>
        </w:rPr>
        <w:t xml:space="preserve">Selection Criteria for the Five New Societal Problems</w:t>
      </w:r>
    </w:p>
    <w:p>
      <w:pPr>
        <w:pStyle w:val="ListParagraph"/>
        <w:numPr>
          <w:ilvl w:val="0"/>
          <w:numId w:val="2"/>
        </w:numPr>
        <w:spacing w:after="60"/>
      </w:pPr>
      <w:r>
        <w:rPr>
          <w:rFonts w:ascii="Calibri" w:cs="Calibri" w:eastAsia="Calibri" w:hAnsi="Calibri"/>
          <w:sz w:val="22"/>
          <w:szCs w:val="22"/>
        </w:rPr>
        <w:t xml:space="preserve">Alignment with Mount Sinai’s overall mission and the strengths of the health system and partner sites.</w:t>
      </w:r>
    </w:p>
    <w:p>
      <w:pPr>
        <w:pStyle w:val="ListParagraph"/>
        <w:numPr>
          <w:ilvl w:val="0"/>
          <w:numId w:val="2"/>
        </w:numPr>
        <w:spacing w:after="60"/>
      </w:pPr>
      <w:r>
        <w:rPr>
          <w:rFonts w:ascii="Calibri" w:cs="Calibri" w:eastAsia="Calibri" w:hAnsi="Calibri"/>
          <w:sz w:val="22"/>
          <w:szCs w:val="22"/>
        </w:rPr>
        <w:t xml:space="preserve">Relevance to East Harlem and New York City population health data.</w:t>
      </w:r>
    </w:p>
    <w:p>
      <w:pPr>
        <w:pStyle w:val="ListParagraph"/>
        <w:numPr>
          <w:ilvl w:val="0"/>
          <w:numId w:val="2"/>
        </w:numPr>
        <w:spacing w:after="60"/>
      </w:pPr>
      <w:r>
        <w:rPr>
          <w:rFonts w:ascii="Calibri" w:cs="Calibri" w:eastAsia="Calibri" w:hAnsi="Calibri"/>
          <w:sz w:val="22"/>
          <w:szCs w:val="22"/>
        </w:rPr>
        <w:t xml:space="preserve">Capacity to be integrated longitudinally across all three phases of the Ascend curriculum (pre-clerkship, clerkship, and integration / transition).</w:t>
      </w:r>
    </w:p>
    <w:p>
      <w:pPr>
        <w:pStyle w:val="ListParagraph"/>
        <w:numPr>
          <w:ilvl w:val="0"/>
          <w:numId w:val="2"/>
        </w:numPr>
        <w:spacing w:after="60"/>
      </w:pPr>
      <w:r>
        <w:rPr>
          <w:rFonts w:ascii="Calibri" w:cs="Calibri" w:eastAsia="Calibri" w:hAnsi="Calibri"/>
          <w:sz w:val="22"/>
          <w:szCs w:val="22"/>
        </w:rPr>
        <w:t xml:space="preserve">Demonstrability and assessability for LCME documentation — through PEAKS capstones, Required Clinical Experiences (RCEs), NBME / CAS exams, and the AAMC Graduation Questionnaire.</w:t>
      </w:r>
    </w:p>
    <w:p>
      <w:pPr>
        <w:pStyle w:val="Heading3"/>
      </w:pPr>
      <w:r>
        <w:rPr>
          <w:rFonts w:ascii="Calibri" w:cs="Calibri" w:eastAsia="Calibri" w:hAnsi="Calibri"/>
        </w:rPr>
        <w:t xml:space="preserve">Proposed Five Societal Problems</w:t>
      </w:r>
    </w:p>
    <w:p>
      <w:pPr>
        <w:pStyle w:val="ListParagraph"/>
        <w:numPr>
          <w:ilvl w:val="0"/>
          <w:numId w:val="2"/>
        </w:numPr>
        <w:spacing w:after="60"/>
      </w:pPr>
      <w:r>
        <w:rPr>
          <w:rFonts w:ascii="Calibri" w:cs="Calibri" w:eastAsia="Calibri" w:hAnsi="Calibri"/>
          <w:sz w:val="22"/>
          <w:szCs w:val="22"/>
        </w:rPr>
        <w:t xml:space="preserve">Aging population — In East Harlem, life expectancy is approximately 76 years, well below the New York City and national averages. Mount Sinai is a powerhouse in geriatrics and palliative medicine, with a new standalone palliative care clerkship rolling out in Phase 2, presence across all care sites including nursing home and home-based programs, acute and urgent care models supporting age-friendly care, and chronic care clerkship integration in Phase 3.</w:t>
      </w:r>
    </w:p>
    <w:p>
      <w:pPr>
        <w:pStyle w:val="ListParagraph"/>
        <w:numPr>
          <w:ilvl w:val="0"/>
          <w:numId w:val="2"/>
        </w:numPr>
        <w:spacing w:after="60"/>
      </w:pPr>
      <w:r>
        <w:rPr>
          <w:rFonts w:ascii="Calibri" w:cs="Calibri" w:eastAsia="Calibri" w:hAnsi="Calibri"/>
          <w:sz w:val="22"/>
          <w:szCs w:val="22"/>
        </w:rPr>
        <w:t xml:space="preserve">Heart disease — Heart disease remains a leading cause of death globally and is largely preventable. In East Harlem, approximately one-third of adults live with hypertension, and hospitalizations for diabetes complications occur at more than twice the city-wide rate. Mount Sinai Heart provides one of the most robust cardiovascular care programs in the country, with community linkages for prevention and patient education.</w:t>
      </w:r>
    </w:p>
    <w:p>
      <w:pPr>
        <w:pStyle w:val="ListParagraph"/>
        <w:numPr>
          <w:ilvl w:val="0"/>
          <w:numId w:val="2"/>
        </w:numPr>
        <w:spacing w:after="60"/>
      </w:pPr>
      <w:r>
        <w:rPr>
          <w:rFonts w:ascii="Calibri" w:cs="Calibri" w:eastAsia="Calibri" w:hAnsi="Calibri"/>
          <w:sz w:val="22"/>
          <w:szCs w:val="22"/>
        </w:rPr>
        <w:t xml:space="preserve">Mental health — Mental health and behavioral disorders are pervasive across all specialties. East Harlem has the highest rate of psychiatric hospitalizations in New York City; the Mount Sinai ED and community clinics see this impact daily. The institution offers an integrated behavioral health model spanning psychiatry, primary care, and social work, with inpatient consultation services and community partnerships.</w:t>
      </w:r>
    </w:p>
    <w:p>
      <w:pPr>
        <w:pStyle w:val="ListParagraph"/>
        <w:numPr>
          <w:ilvl w:val="0"/>
          <w:numId w:val="2"/>
        </w:numPr>
        <w:spacing w:after="60"/>
      </w:pPr>
      <w:r>
        <w:rPr>
          <w:rFonts w:ascii="Calibri" w:cs="Calibri" w:eastAsia="Calibri" w:hAnsi="Calibri"/>
          <w:sz w:val="22"/>
          <w:szCs w:val="22"/>
        </w:rPr>
        <w:t xml:space="preserve">Pain and the opioid epidemic — The only societal problem retained from the 2019 list. Captures the duality of effectively treating pain while preventing opioid misuse. East and Central Harlem have the highest overdose death rates in New York City, driven by fentanyl and polysubstance use. Curriculum touchpoints include a Basecamp session on overdose prevention; multimodal pain and palliative care models in the Department of Anesthesiology and Department of Palliative Medicine; and continuity across settings, including the psychiatry clerkship.</w:t>
      </w:r>
    </w:p>
    <w:p>
      <w:pPr>
        <w:pStyle w:val="ListParagraph"/>
        <w:numPr>
          <w:ilvl w:val="0"/>
          <w:numId w:val="2"/>
        </w:numPr>
        <w:spacing w:after="60"/>
      </w:pPr>
      <w:r>
        <w:rPr>
          <w:rFonts w:ascii="Calibri" w:cs="Calibri" w:eastAsia="Calibri" w:hAnsi="Calibri"/>
          <w:sz w:val="22"/>
          <w:szCs w:val="22"/>
        </w:rPr>
        <w:t xml:space="preserve">Contextual and systems factors affecting health — Renamed from “structural determinants of health.” Captures upstream determinants such as housing, food, education, racism, policy, and identity. East Harlem has 23% poverty, high unemployment, and elevated asthma and diabetes rates. Curricular integration includes population health in the chronic care clerkship; QI efforts in healthcare delivery science (Phase 2 and Phase 3); and the Healthcare Delivery Science area of concentration.</w:t>
      </w:r>
    </w:p>
    <w:p>
      <w:pPr>
        <w:pStyle w:val="Heading3"/>
      </w:pPr>
      <w:r>
        <w:rPr>
          <w:rFonts w:ascii="Calibri" w:cs="Calibri" w:eastAsia="Calibri" w:hAnsi="Calibri"/>
        </w:rPr>
        <w:t xml:space="preserve">Cross-Cutting Assessment Strategies</w:t>
      </w:r>
    </w:p>
    <w:p>
      <w:pPr>
        <w:spacing w:after="120"/>
      </w:pPr>
      <w:r>
        <w:rPr>
          <w:rFonts w:ascii="Calibri" w:cs="Calibri" w:eastAsia="Calibri" w:hAnsi="Calibri"/>
          <w:sz w:val="22"/>
          <w:szCs w:val="22"/>
        </w:rPr>
        <w:t xml:space="preserve">Dr. Soriano described how each societal problem will be assessed across the curriculum: through Practice of Medicine modules and clerkships; through the three Periodic Assessment of Knowledge and Skills (PEAKS) capstones at the end of each phase; through Required Clinical Experiences (RCEs) mandated by LCME for clerkship exposure; through domain scores on CAS examinations and NBME shelf examinations; through CQI dashboards (under development); and through GQ outcomes data.</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The Chair, Dr. Francis, expressed condolences regarding the LCME’s pending plans, noting on the record that it “breaks my heart” to consider that the depth of work behind these societal problems may not be addressed as meaningfully in the future framework. Dr. Soriano invited additional suggestions; none were proposed.</w:t>
      </w:r>
    </w:p>
    <w:p>
      <w:pPr>
        <w:pStyle w:val="Heading3"/>
      </w:pPr>
      <w:r>
        <w:rPr>
          <w:rFonts w:ascii="Calibri" w:cs="Calibri" w:eastAsia="Calibri" w:hAnsi="Calibri"/>
        </w:rPr>
        <w:t xml:space="preserve">Vote — LCME Standard 7.5 Five Societal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five societal problems — aging population; heart disease; mental health; pain and the opioid epidemic; contextual and systems factors affecting health — as the institution’s LCME Standard 7.5 portfolio under the current standard, with the explicit acknowledgment that LCME has announced plans to subsume Standard 7.5 into a restructured Standard 7 effective for the AY 2027–2028 accreditation cycle.</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electronic vote / show of hands. Ms. Anand confirmed: “Yes, it looks... yeah, we're good.”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were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the five proposed societal problems were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Approval was recorded with the explicit caveat presented by Dr. Soriano regarding pending LCME Standard 7 restructure. Members should be aware that the operational lifespan of this list may be limited to the period before AY 2027–2028 accreditation expectations take effect. Specific yeas / nays / abstentions tally was not surfaced in the transcript and should be reconciled against the Office of Curricular Affairs voting roll.</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with caveat. The Office of Curricular Affairs will operationalize curricular integration of the five societal problems across the three phases. The committee will revisit Standard 7.5 alignment as the LCME finalizes the revised Standard 7 (expected spring 2026).</w:t>
      </w:r>
    </w:p>
    <w:p>
      <w:pPr>
        <w:pStyle w:val="Heading2"/>
      </w:pPr>
      <w:r>
        <w:rPr>
          <w:rFonts w:ascii="Calibri" w:cs="Calibri" w:eastAsia="Calibri" w:hAnsi="Calibri"/>
        </w:rPr>
        <w:t xml:space="preserve">6.5  AAMC Graduation Questionnaire (GQ) — Annual Outcomes Report</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w:t>
      </w:r>
      <w:r>
        <w:rPr>
          <w:rFonts w:ascii="Calibri" w:cs="Calibri" w:eastAsia="Calibri" w:hAnsi="Calibri"/>
          <w:i/>
          <w:iCs/>
          <w:sz w:val="22"/>
          <w:szCs w:val="22"/>
        </w:rPr>
        <w:t xml:space="preserve">(informational / no vote required)</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Robert Fallar, PhD (Associate Dean for Assessment and Evaluation)</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Multiple — 8.4 (Program Evaluation), 9.x (Assessment), 12.x (Student Support and Career Advising), and the AAMC GQ is a major LCME data collection instrument cited throughout the DCI</w:t>
      </w:r>
    </w:p>
    <w:p>
      <w:pPr>
        <w:pStyle w:val="Heading3"/>
      </w:pPr>
      <w:r>
        <w:rPr>
          <w:rFonts w:ascii="Calibri" w:cs="Calibri" w:eastAsia="Calibri" w:hAnsi="Calibri"/>
        </w:rPr>
        <w:t xml:space="preserve">Survey Context</w:t>
      </w:r>
    </w:p>
    <w:p>
      <w:pPr>
        <w:spacing w:after="120"/>
      </w:pPr>
      <w:r>
        <w:rPr>
          <w:rFonts w:ascii="Calibri" w:cs="Calibri" w:eastAsia="Calibri" w:hAnsi="Calibri"/>
          <w:sz w:val="22"/>
          <w:szCs w:val="22"/>
        </w:rPr>
        <w:t xml:space="preserve">Dr. Fallar introduced the AAMC GQ as the annual survey administered to graduating students at all U.S. medical schools, providing national norms for context. The 80% response-in-desired-category benchmark is the LCME informal threshold (e.g., agree / strongly agree, or disagree / strongly disagree where appropriate). 91 students completed this year’s survey — 71% of the class — slightly below the typical 100–110 response volume; respondents reflect the legacy curriculum exclusively (no Ascend cohort yet).</w:t>
      </w:r>
    </w:p>
    <w:p>
      <w:pPr>
        <w:pStyle w:val="Heading3"/>
      </w:pPr>
      <w:r>
        <w:rPr>
          <w:rFonts w:ascii="Calibri" w:cs="Calibri" w:eastAsia="Calibri" w:hAnsi="Calibri"/>
        </w:rPr>
        <w:t xml:space="preserve">Highlighted Outcomes</w:t>
      </w:r>
    </w:p>
    <w:p>
      <w:pPr>
        <w:pStyle w:val="ListParagraph"/>
        <w:numPr>
          <w:ilvl w:val="0"/>
          <w:numId w:val="2"/>
        </w:numPr>
        <w:spacing w:after="60"/>
      </w:pPr>
      <w:r>
        <w:rPr>
          <w:rFonts w:ascii="Calibri" w:cs="Calibri" w:eastAsia="Calibri" w:hAnsi="Calibri"/>
          <w:sz w:val="22"/>
          <w:szCs w:val="22"/>
        </w:rPr>
        <w:t xml:space="preserve">Overall satisfaction: more than 90% of students agree they are satisfied with the quality of their medical education — well above national norms, sustained over the last three years.</w:t>
      </w:r>
    </w:p>
    <w:p>
      <w:pPr>
        <w:pStyle w:val="ListParagraph"/>
        <w:numPr>
          <w:ilvl w:val="0"/>
          <w:numId w:val="2"/>
        </w:numPr>
        <w:spacing w:after="60"/>
      </w:pPr>
      <w:r>
        <w:rPr>
          <w:rFonts w:ascii="Calibri" w:cs="Calibri" w:eastAsia="Calibri" w:hAnsi="Calibri"/>
          <w:sz w:val="22"/>
          <w:szCs w:val="22"/>
        </w:rPr>
        <w:t xml:space="preserve">Curricular integration: students rating basic-science clinical relevance and integration of basic science into clerkships are well above the 80% threshold, with steady improvement over five years.</w:t>
      </w:r>
    </w:p>
    <w:p>
      <w:pPr>
        <w:pStyle w:val="ListParagraph"/>
        <w:numPr>
          <w:ilvl w:val="0"/>
          <w:numId w:val="2"/>
        </w:numPr>
        <w:spacing w:after="60"/>
      </w:pPr>
      <w:r>
        <w:rPr>
          <w:rFonts w:ascii="Calibri" w:cs="Calibri" w:eastAsia="Calibri" w:hAnsi="Calibri"/>
          <w:sz w:val="22"/>
          <w:szCs w:val="22"/>
        </w:rPr>
        <w:t xml:space="preserve">Basic-science preparation for clerkships: most subjects rated highly; physiology rated 100%. Genetics, biostatistics, and biochemistry have historically been below 80% and are now improving — genetics now at approximately the 80% threshold.</w:t>
      </w:r>
    </w:p>
    <w:p>
      <w:pPr>
        <w:pStyle w:val="ListParagraph"/>
        <w:numPr>
          <w:ilvl w:val="0"/>
          <w:numId w:val="2"/>
        </w:numPr>
        <w:spacing w:after="60"/>
      </w:pPr>
      <w:r>
        <w:rPr>
          <w:rFonts w:ascii="Calibri" w:cs="Calibri" w:eastAsia="Calibri" w:hAnsi="Calibri"/>
          <w:sz w:val="22"/>
          <w:szCs w:val="22"/>
        </w:rPr>
        <w:t xml:space="preserve">Clerkship quality: all clerkships rated good or excellent above 80% (most above 90%), all above national norms.</w:t>
      </w:r>
    </w:p>
    <w:p>
      <w:pPr>
        <w:pStyle w:val="ListParagraph"/>
        <w:numPr>
          <w:ilvl w:val="0"/>
          <w:numId w:val="2"/>
        </w:numPr>
        <w:spacing w:after="60"/>
      </w:pPr>
      <w:r>
        <w:rPr>
          <w:rFonts w:ascii="Calibri" w:cs="Calibri" w:eastAsia="Calibri" w:hAnsi="Calibri"/>
          <w:sz w:val="22"/>
          <w:szCs w:val="22"/>
        </w:rPr>
        <w:t xml:space="preserve">Observed history and physical examination: more than 90% across all clerkships report being observed (significant improvement over a 10-year horizon).</w:t>
      </w:r>
    </w:p>
    <w:p>
      <w:pPr>
        <w:pStyle w:val="ListParagraph"/>
        <w:numPr>
          <w:ilvl w:val="0"/>
          <w:numId w:val="2"/>
        </w:numPr>
        <w:spacing w:after="60"/>
      </w:pPr>
      <w:r>
        <w:rPr>
          <w:rFonts w:ascii="Calibri" w:cs="Calibri" w:eastAsia="Calibri" w:hAnsi="Calibri"/>
          <w:sz w:val="22"/>
          <w:szCs w:val="22"/>
        </w:rPr>
        <w:t xml:space="preserve">Mid-clerkship feedback: more than 97% across clerkships, all above national norms.</w:t>
      </w:r>
    </w:p>
    <w:p>
      <w:pPr>
        <w:pStyle w:val="ListParagraph"/>
        <w:numPr>
          <w:ilvl w:val="0"/>
          <w:numId w:val="2"/>
        </w:numPr>
        <w:spacing w:after="60"/>
      </w:pPr>
      <w:r>
        <w:rPr>
          <w:rFonts w:ascii="Calibri" w:cs="Calibri" w:eastAsia="Calibri" w:hAnsi="Calibri"/>
          <w:sz w:val="22"/>
          <w:szCs w:val="22"/>
        </w:rPr>
        <w:t xml:space="preserve">Residency preparation (9 statements): top three rated 100%; most above 98%; bottom two are clinical-skills confidence (94%) and high-value-care application (89%).</w:t>
      </w:r>
    </w:p>
    <w:p>
      <w:pPr>
        <w:pStyle w:val="ListParagraph"/>
        <w:numPr>
          <w:ilvl w:val="0"/>
          <w:numId w:val="2"/>
        </w:numPr>
        <w:spacing w:after="60"/>
      </w:pPr>
      <w:r>
        <w:rPr>
          <w:rFonts w:ascii="Calibri" w:cs="Calibri" w:eastAsia="Calibri" w:hAnsi="Calibri"/>
          <w:sz w:val="22"/>
          <w:szCs w:val="22"/>
        </w:rPr>
        <w:t xml:space="preserve">Strengths in elective and voluntary activities: research projects, posters / peer-reviewed papers, independent study, and global health.</w:t>
      </w:r>
    </w:p>
    <w:p>
      <w:pPr>
        <w:pStyle w:val="ListParagraph"/>
        <w:numPr>
          <w:ilvl w:val="0"/>
          <w:numId w:val="2"/>
        </w:numPr>
        <w:spacing w:after="60"/>
      </w:pPr>
      <w:r>
        <w:rPr>
          <w:rFonts w:ascii="Calibri" w:cs="Calibri" w:eastAsia="Calibri" w:hAnsi="Calibri"/>
          <w:sz w:val="22"/>
          <w:szCs w:val="22"/>
        </w:rPr>
        <w:t xml:space="preserve">Professionalism — disconnect between taught and observed faculty professional behaviors: school data improving over five to six years; only 50% of students nationally say “never / almost never” — the school is consistent with national norms. Resident professionalism observed somewhat better than faculty.</w:t>
      </w:r>
    </w:p>
    <w:p>
      <w:pPr>
        <w:pStyle w:val="ListParagraph"/>
        <w:numPr>
          <w:ilvl w:val="0"/>
          <w:numId w:val="2"/>
        </w:numPr>
        <w:spacing w:after="60"/>
      </w:pPr>
      <w:r>
        <w:rPr>
          <w:rFonts w:ascii="Calibri" w:cs="Calibri" w:eastAsia="Calibri" w:hAnsi="Calibri"/>
          <w:sz w:val="22"/>
          <w:szCs w:val="22"/>
        </w:rPr>
        <w:t xml:space="preserve">Specific professional behaviors (14 measures): 85–94% positive on 10 of 14. Two crossed the 80% threshold this year for the first time — advocating for patients (86%) and taking time and effort to explain information (85%). Two remain below 80% but are significantly improving: providing direction and constructive feedback (now 77%, up from 58%) and being respectful of other specialties (now 76%, up from 54%).</w:t>
      </w:r>
    </w:p>
    <w:p>
      <w:pPr>
        <w:pStyle w:val="ListParagraph"/>
        <w:numPr>
          <w:ilvl w:val="0"/>
          <w:numId w:val="2"/>
        </w:numPr>
        <w:spacing w:after="60"/>
      </w:pPr>
      <w:r>
        <w:rPr>
          <w:rFonts w:ascii="Calibri" w:cs="Calibri" w:eastAsia="Calibri" w:hAnsi="Calibri"/>
          <w:sz w:val="22"/>
          <w:szCs w:val="22"/>
        </w:rPr>
        <w:t xml:space="preserve">Administrative services accessibility (Office of the Dean of Assessments / Students / Educational Programs and Curricular Affairs): now at the 80% threshold, projected to keep increasing.</w:t>
      </w:r>
    </w:p>
    <w:p>
      <w:pPr>
        <w:pStyle w:val="ListParagraph"/>
        <w:numPr>
          <w:ilvl w:val="0"/>
          <w:numId w:val="2"/>
        </w:numPr>
        <w:spacing w:after="60"/>
      </w:pPr>
      <w:r>
        <w:rPr>
          <w:rFonts w:ascii="Calibri" w:cs="Calibri" w:eastAsia="Calibri" w:hAnsi="Calibri"/>
          <w:sz w:val="22"/>
          <w:szCs w:val="22"/>
        </w:rPr>
        <w:t xml:space="preserve">Career planning services: improving significantly over two years, projected to approach the 80% threshold; advising and mentoring within the school identified by students as helpful.</w:t>
      </w:r>
    </w:p>
    <w:p>
      <w:pPr>
        <w:pStyle w:val="ListParagraph"/>
        <w:numPr>
          <w:ilvl w:val="0"/>
          <w:numId w:val="2"/>
        </w:numPr>
        <w:spacing w:after="60"/>
      </w:pPr>
      <w:r>
        <w:rPr>
          <w:rFonts w:ascii="Calibri" w:cs="Calibri" w:eastAsia="Calibri" w:hAnsi="Calibri"/>
          <w:sz w:val="22"/>
          <w:szCs w:val="22"/>
        </w:rPr>
        <w:t xml:space="preserve">Mistreatment: the school is above national norms on awareness of policy and reporting procedures. Less than 30% reported any mistreatment behavior (decreasing trend). For the first time, more than 80% reported “never” being publicly humiliated. Public embarrassment remains the one item where students continue to report.</w:t>
      </w:r>
    </w:p>
    <w:p>
      <w:pPr>
        <w:pStyle w:val="ListParagraph"/>
        <w:numPr>
          <w:ilvl w:val="0"/>
          <w:numId w:val="2"/>
        </w:numPr>
        <w:spacing w:after="60"/>
      </w:pPr>
      <w:r>
        <w:rPr>
          <w:rFonts w:ascii="Calibri" w:cs="Calibri" w:eastAsia="Calibri" w:hAnsi="Calibri"/>
          <w:sz w:val="22"/>
          <w:szCs w:val="22"/>
        </w:rPr>
        <w:t xml:space="preserve">Career-choice satisfaction: approximately 80% would attend medical school again; only about 5% would not (versus approximately 10% nationally).</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Barbara Masi reported that a substantial effort is underway, led by Dr. Craig Katz, in a Professional Guidelines Working Group. The committee is reviewing all professional behaviors of medical students — how they are evaluated, taught, and assessed — along with policies and procedures around professionalism concerns and mistreatment, to ensure full alignment with LCME expectations. This work has a tangential link to evaluation of faculty behaviors in clerkships.</w:t>
      </w:r>
    </w:p>
    <w:p>
      <w:pPr>
        <w:spacing w:after="120"/>
      </w:pPr>
      <w:r>
        <w:rPr>
          <w:rFonts w:ascii="Calibri" w:cs="Calibri" w:eastAsia="Calibri" w:hAnsi="Calibri"/>
          <w:sz w:val="22"/>
          <w:szCs w:val="22"/>
        </w:rPr>
        <w:t xml:space="preserve">The Chair, Dr. Francis, having served as committee chair for over five years, expressed appreciation for the visible improvements reflected in the survey scores. She asked whether response-rate participation had increased over recent years; Dr. Fallar reported it has been pretty consistent.</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Received and reviewed. No vote required. The data informs ongoing work in the Assessment and Evaluation Subcommittee, the Professional Guidelines Working Group, and recurring CQI cycles.</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Behavioral Science action plan in Spring 2026 (resequence lectures; increase high-yield content; update patient video cases; address CCSG / POM redundancy; spread lectures to reduce daily density; incorporate racism/LGBTQ+ content where appropriate; modify CCSG prompts within AMBOSS / CAS limitations).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Behavioral Science Module Director;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Behavioral Science review at the corresponding meeting in academic year 2026–2027 (within 12 months).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Hematology action plan (maintain Wednesday TBL; simplify IRAT questions; reduce IRAT-driven anxiety; refine AMBOSS selection; add NBME questions; revise IRAT 30% weight; integrate microbiology closer to Friday review session).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Hematology Module Director (H. Levvy, MD);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Hematology review at the corresponding meeting in academic year 2026–2027 (within 12 months).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Operationalize curricular integration of the five LCME 7.5 societal problems (aging population; heart disease; mental health; pain and opioid epidemic; contextual and systems factors affecting health) across all three phases of the Ascend curriculum.</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AY 2025–2026 ongoing; revisit when LCME finalizes revised Standard 7 (anticipated 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Mid-cycle review at an EEC meeting in spring 2026, contingent on LCME publication of revised Standard 7 language.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7.5 / 8.3 / 8.4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Track AAMC GQ outcomes; continue closed-loop CQI cycles for items still below the 80% threshold (constructive feedback to students; respect across specialties; high-value-care application; career planning satisfaction). Coordinate with the Professional Guidelines Working Group (chaired by Dr. Craig Katz) on professionalism behaviors.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Fallar, PhD (AES); B. Masi, PhD; C. Katz,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GQ presentation to the EEC in the corresponding meeting next academic year; interim updates from the Professional Guidelines Working Group as available.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3.5 / 8.4 / 9.x / 12.x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the Office of Curricular Affairs sign-in record to confirm precise voting member identification and to confirm yeas / nays / abstentions tallies for all three voting items.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November 21,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21, 2025 EEC meeting — confirm reconciliation has been completed.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Slide correction: amend the Hematology action-plan slide language from “lectures and CCSGs” to “lectures and TBLs” for consistency with the actual instructional method (clarification raised by Mr. Zhang on the record).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Immediately, prior to subsequent distribution</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next EEC meeting; record amendment in Office of Curricular Affairs file copy.</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Dr. Francis declared the meeting adjourned at approximately 1:14 p.m. ET, thanking Dr. Fallar for the GQ presentation and all members and presenters for their participation.</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November 21, 2025.</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November 7, 2025.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November 7,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46A7339A-8279-4173-994B-5D1026639229}"/>
</file>

<file path=customXml/itemProps2.xml><?xml version="1.0" encoding="utf-8"?>
<ds:datastoreItem xmlns:ds="http://schemas.openxmlformats.org/officeDocument/2006/customXml" ds:itemID="{21318B7B-9257-41F3-A784-B978BF5245B2}"/>
</file>

<file path=customXml/itemProps3.xml><?xml version="1.0" encoding="utf-8"?>
<ds:datastoreItem xmlns:ds="http://schemas.openxmlformats.org/officeDocument/2006/customXml" ds:itemID="{26E1AB93-70A7-4905-BDFF-C300B1E830C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November 7, 2025</dc:title>
  <dc:creator>Educational Executive Committee</dc:creator>
  <cp:lastModifiedBy>Un-named</cp:lastModifiedBy>
  <cp:revision>1</cp:revision>
  <dcterms:created xsi:type="dcterms:W3CDTF">2026-05-09T03:05:14Z</dcterms:created>
  <dcterms:modified xsi:type="dcterms:W3CDTF">2026-05-09T03:05:14Z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