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color w:val="1F3A5F"/>
          <w:sz w:val="32"/>
          <w:szCs w:val="32"/>
        </w:rPr>
        <w:t xml:space="preserve">EDUCATIONAL EXECUTIVE COMMITTEE (EEC)</w:t>
      </w:r>
    </w:p>
    <w:p>
      <w:pPr>
        <w:spacing w:after="80"/>
        <w:jc w:val="center"/>
      </w:pPr>
      <w:r>
        <w:rPr>
          <w:rFonts w:ascii="Calibri" w:cs="Calibri" w:eastAsia="Calibri" w:hAnsi="Calibri"/>
          <w:b/>
          <w:bCs/>
          <w:color w:val="1F3A5F"/>
          <w:sz w:val="32"/>
          <w:szCs w:val="32"/>
        </w:rPr>
        <w:t xml:space="preserve">MEETING MINUTES</w:t>
      </w:r>
    </w:p>
    <w:p>
      <w:pPr>
        <w:spacing w:after="280"/>
        <w:jc w:val="center"/>
      </w:pPr>
      <w:r>
        <w:rPr>
          <w:rFonts w:ascii="Calibri" w:cs="Calibri" w:eastAsia="Calibri" w:hAnsi="Calibri"/>
          <w:i/>
          <w:iCs/>
          <w:color w:val="555555"/>
          <w:sz w:val="24"/>
          <w:szCs w:val="24"/>
        </w:rPr>
        <w:t xml:space="preserve">Icahn School of Medicine at Mount Sinai  |  February 6,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Committee</w:t>
            </w:r>
          </w:p>
        </w:tc>
        <w:tc>
          <w:tcPr>
            <w:tcW w:type="dxa" w:w="67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Educational Executive Committee (EEC)</w:t>
            </w:r>
          </w:p>
        </w:tc>
      </w:tr>
      <w:tr>
        <w:tc>
          <w:tcPr>
            <w:tcW w:type="dxa" w:w="26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Meeting Type</w:t>
            </w:r>
          </w:p>
        </w:tc>
        <w:tc>
          <w:tcPr>
            <w:tcW w:type="dxa" w:w="67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Regular Scheduled Meeting</w:t>
            </w:r>
          </w:p>
        </w:tc>
      </w:tr>
      <w:tr>
        <w:tc>
          <w:tcPr>
            <w:tcW w:type="dxa" w:w="26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Date</w:t>
            </w:r>
          </w:p>
        </w:tc>
        <w:tc>
          <w:tcPr>
            <w:tcW w:type="dxa" w:w="67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February 6, 2026 (Friday)</w:t>
            </w:r>
          </w:p>
        </w:tc>
      </w:tr>
      <w:tr>
        <w:tc>
          <w:tcPr>
            <w:tcW w:type="dxa" w:w="26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Time</w:t>
            </w:r>
          </w:p>
        </w:tc>
        <w:tc>
          <w:tcPr>
            <w:tcW w:type="dxa" w:w="67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Approximately 12:00 p.m. – 12:46 p.m. ET</w:t>
            </w:r>
          </w:p>
        </w:tc>
      </w:tr>
      <w:tr>
        <w:tc>
          <w:tcPr>
            <w:tcW w:type="dxa" w:w="26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Modality</w:t>
            </w:r>
          </w:p>
        </w:tc>
        <w:tc>
          <w:tcPr>
            <w:tcW w:type="dxa" w:w="67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Zoom (virtual)</w:t>
            </w:r>
          </w:p>
        </w:tc>
      </w:tr>
      <w:tr>
        <w:tc>
          <w:tcPr>
            <w:tcW w:type="dxa" w:w="26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Presiding Officer</w:t>
            </w:r>
          </w:p>
        </w:tc>
        <w:tc>
          <w:tcPr>
            <w:tcW w:type="dxa" w:w="67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Michelle Francis, MD — Chair, Educational Executive Committee</w:t>
            </w:r>
          </w:p>
        </w:tc>
      </w:tr>
      <w:tr>
        <w:tc>
          <w:tcPr>
            <w:tcW w:type="dxa" w:w="26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Recording Secretary</w:t>
            </w:r>
          </w:p>
        </w:tc>
        <w:tc>
          <w:tcPr>
            <w:tcW w:type="dxa" w:w="67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Fatima Shafiq, Project Manager, Curricular Affairs</w:t>
            </w:r>
          </w:p>
        </w:tc>
      </w:tr>
      <w:tr>
        <w:tc>
          <w:tcPr>
            <w:tcW w:type="dxa" w:w="26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Quorum</w:t>
            </w:r>
          </w:p>
        </w:tc>
        <w:tc>
          <w:tcPr>
            <w:tcW w:type="dxa" w:w="67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Confirmed at call to order — 9–10 voting members — see Section 2.</w:t>
            </w:r>
          </w:p>
        </w:tc>
      </w:tr>
      <w:tr>
        <w:tc>
          <w:tcPr>
            <w:tcW w:type="dxa" w:w="26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Recording</w:t>
            </w:r>
          </w:p>
        </w:tc>
        <w:tc>
          <w:tcPr>
            <w:tcW w:type="dxa" w:w="67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Zoom transcript on file; reference source for these minutes</w:t>
            </w:r>
          </w:p>
        </w:tc>
      </w:tr>
      <w:tr>
        <w:tc>
          <w:tcPr>
            <w:tcW w:type="dxa" w:w="26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Procedural Note</w:t>
            </w:r>
          </w:p>
        </w:tc>
        <w:tc>
          <w:tcPr>
            <w:tcW w:type="dxa" w:w="67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Second EEC meeting under formal Robert’s Rules of Order; new voting procedure introduced for opposition votes (see Item 6.2 below).</w:t>
            </w:r>
          </w:p>
        </w:tc>
      </w:tr>
    </w:tbl>
    <w:p>
      <w:r>
        <w:t xml:space="preserve"/>
      </w:r>
    </w:p>
    <w:p>
      <w:pPr>
        <w:pStyle w:val="Heading1"/>
      </w:pPr>
      <w:r>
        <w:rPr>
          <w:rFonts w:ascii="Calibri" w:cs="Calibri" w:eastAsia="Calibri" w:hAnsi="Calibri"/>
        </w:rPr>
        <w:t xml:space="preserve">1. Attendance</w:t>
      </w:r>
    </w:p>
    <w:p>
      <w:pPr>
        <w:spacing w:after="120"/>
      </w:pPr>
      <w:r>
        <w:rPr>
          <w:rFonts w:ascii="Calibri" w:cs="Calibri" w:eastAsia="Calibri" w:hAnsi="Calibri"/>
          <w:sz w:val="22"/>
          <w:szCs w:val="22"/>
        </w:rPr>
        <w:t xml:space="preserve">Attendance reported in alignment with LCME Element 8.1. Voting status reflects the EEC roster effective 7/11/2025.</w:t>
      </w:r>
    </w:p>
    <w:p>
      <w:pPr>
        <w:pStyle w:val="Heading2"/>
      </w:pPr>
      <w:r>
        <w:rPr>
          <w:rFonts w:ascii="Calibri" w:cs="Calibri" w:eastAsia="Calibri" w:hAnsi="Calibri"/>
        </w:rPr>
        <w:t xml:space="preserve">Voting Members Present</w:t>
      </w:r>
    </w:p>
    <w:p>
      <w:pPr>
        <w:pStyle w:val="ListParagraph"/>
        <w:numPr>
          <w:ilvl w:val="0"/>
          <w:numId w:val="2"/>
        </w:numPr>
        <w:spacing w:after="60"/>
      </w:pPr>
      <w:r>
        <w:rPr>
          <w:rFonts w:ascii="Calibri" w:cs="Calibri" w:eastAsia="Calibri" w:hAnsi="Calibri"/>
          <w:sz w:val="22"/>
          <w:szCs w:val="22"/>
        </w:rPr>
        <w:t xml:space="preserve">Michelle Francis, MD — Chair (presiding)</w:t>
      </w:r>
    </w:p>
    <w:p>
      <w:pPr>
        <w:pStyle w:val="ListParagraph"/>
        <w:numPr>
          <w:ilvl w:val="0"/>
          <w:numId w:val="2"/>
        </w:numPr>
        <w:spacing w:after="60"/>
      </w:pPr>
      <w:r>
        <w:rPr>
          <w:rFonts w:ascii="Calibri" w:cs="Calibri" w:eastAsia="Calibri" w:hAnsi="Calibri"/>
          <w:sz w:val="22"/>
          <w:szCs w:val="22"/>
        </w:rPr>
        <w:t xml:space="preserve">Tonia Kim, MD — Faculty Curricular Leader (Pre-Clerkship)</w:t>
      </w:r>
    </w:p>
    <w:p>
      <w:pPr>
        <w:pStyle w:val="ListParagraph"/>
        <w:numPr>
          <w:ilvl w:val="0"/>
          <w:numId w:val="2"/>
        </w:numPr>
        <w:spacing w:after="60"/>
      </w:pPr>
      <w:r>
        <w:rPr>
          <w:rFonts w:ascii="Calibri" w:cs="Calibri" w:eastAsia="Calibri" w:hAnsi="Calibri"/>
          <w:sz w:val="22"/>
          <w:szCs w:val="22"/>
        </w:rPr>
        <w:t xml:space="preserve">Sreekala Raghavan, MD — Faculty Educator at Large</w:t>
      </w:r>
    </w:p>
    <w:p>
      <w:pPr>
        <w:pStyle w:val="ListParagraph"/>
        <w:numPr>
          <w:ilvl w:val="0"/>
          <w:numId w:val="2"/>
        </w:numPr>
        <w:spacing w:after="60"/>
      </w:pPr>
      <w:r>
        <w:rPr>
          <w:rFonts w:ascii="Calibri" w:cs="Calibri" w:eastAsia="Calibri" w:hAnsi="Calibri"/>
          <w:sz w:val="22"/>
          <w:szCs w:val="22"/>
        </w:rPr>
        <w:t xml:space="preserve">Brian Rice, MD — Faculty Educator at Large (joined briefly from a clinical area, on the rocks; noted on the record)</w:t>
      </w:r>
    </w:p>
    <w:p>
      <w:pPr>
        <w:pStyle w:val="ListParagraph"/>
        <w:numPr>
          <w:ilvl w:val="0"/>
          <w:numId w:val="2"/>
        </w:numPr>
        <w:spacing w:after="60"/>
      </w:pPr>
      <w:r>
        <w:rPr>
          <w:rFonts w:ascii="Calibri" w:cs="Calibri" w:eastAsia="Calibri" w:hAnsi="Calibri"/>
          <w:sz w:val="22"/>
          <w:szCs w:val="22"/>
        </w:rPr>
        <w:t xml:space="preserve">Richard Stern, MD — Specialty Advisor</w:t>
      </w:r>
    </w:p>
    <w:p>
      <w:pPr>
        <w:pStyle w:val="ListParagraph"/>
        <w:numPr>
          <w:ilvl w:val="0"/>
          <w:numId w:val="2"/>
        </w:numPr>
        <w:spacing w:after="60"/>
      </w:pPr>
      <w:r>
        <w:rPr>
          <w:rFonts w:ascii="Calibri" w:cs="Calibri" w:eastAsia="Calibri" w:hAnsi="Calibri"/>
          <w:sz w:val="22"/>
          <w:szCs w:val="22"/>
        </w:rPr>
        <w:t xml:space="preserve">Jamie Frost — Student Representative, M3 (re-engaging after rotations; finished pediatrics prior week)</w:t>
      </w:r>
    </w:p>
    <w:p>
      <w:pPr>
        <w:pStyle w:val="ListParagraph"/>
        <w:numPr>
          <w:ilvl w:val="0"/>
          <w:numId w:val="2"/>
        </w:numPr>
        <w:spacing w:after="60"/>
      </w:pPr>
      <w:r>
        <w:rPr>
          <w:rFonts w:ascii="Calibri" w:cs="Calibri" w:eastAsia="Calibri" w:hAnsi="Calibri"/>
          <w:sz w:val="22"/>
          <w:szCs w:val="22"/>
        </w:rPr>
        <w:t xml:space="preserve">Fari Mbaye — Student Representative, M4</w:t>
      </w:r>
    </w:p>
    <w:p>
      <w:pPr>
        <w:spacing w:after="120"/>
        <w:rPr>
          <w:i/>
          <w:iCs/>
          <w:sz w:val="20"/>
          <w:szCs w:val="20"/>
        </w:rPr>
      </w:pPr>
      <w:r>
        <w:rPr>
          <w:rFonts w:ascii="Calibri" w:cs="Calibri" w:eastAsia="Calibri" w:hAnsi="Calibri"/>
          <w:i/>
          <w:iCs/>
          <w:sz w:val="20"/>
          <w:szCs w:val="20"/>
        </w:rPr>
        <w:t xml:space="preserve">Ms. Shafiq confirmed approximately 9–10 voting members at call to order. Specific identification of all voting members beyond those who spoke on the record could not be reconstructed from the transcript alone.</w:t>
      </w:r>
    </w:p>
    <w:p>
      <w:pPr>
        <w:pStyle w:val="Heading2"/>
      </w:pPr>
      <w:r>
        <w:rPr>
          <w:rFonts w:ascii="Calibri" w:cs="Calibri" w:eastAsia="Calibri" w:hAnsi="Calibri"/>
        </w:rPr>
        <w:t xml:space="preserve">Ex Officio Members Present (Non-Voting)</w:t>
      </w:r>
    </w:p>
    <w:p>
      <w:pPr>
        <w:pStyle w:val="ListParagraph"/>
        <w:numPr>
          <w:ilvl w:val="0"/>
          <w:numId w:val="2"/>
        </w:numPr>
        <w:spacing w:after="60"/>
      </w:pPr>
      <w:r>
        <w:rPr>
          <w:rFonts w:ascii="Calibri" w:cs="Calibri" w:eastAsia="Calibri" w:hAnsi="Calibri"/>
          <w:sz w:val="22"/>
          <w:szCs w:val="22"/>
        </w:rPr>
        <w:t xml:space="preserve">Teddy Holzer, MD — Director of the Clinical Curriculum (lead presenter, Item 6.2)</w:t>
      </w:r>
    </w:p>
    <w:p>
      <w:pPr>
        <w:pStyle w:val="ListParagraph"/>
        <w:numPr>
          <w:ilvl w:val="0"/>
          <w:numId w:val="2"/>
        </w:numPr>
        <w:spacing w:after="60"/>
      </w:pPr>
      <w:r>
        <w:rPr>
          <w:rFonts w:ascii="Calibri" w:cs="Calibri" w:eastAsia="Calibri" w:hAnsi="Calibri"/>
          <w:sz w:val="22"/>
          <w:szCs w:val="22"/>
        </w:rPr>
        <w:t xml:space="preserve">Rainier P. Soriano, MD — Senior Associate Dean for Curricular Affairs</w:t>
      </w:r>
    </w:p>
    <w:p>
      <w:pPr>
        <w:pStyle w:val="ListParagraph"/>
        <w:numPr>
          <w:ilvl w:val="0"/>
          <w:numId w:val="2"/>
        </w:numPr>
        <w:spacing w:after="60"/>
      </w:pPr>
      <w:r>
        <w:rPr>
          <w:rFonts w:ascii="Calibri" w:cs="Calibri" w:eastAsia="Calibri" w:hAnsi="Calibri"/>
          <w:sz w:val="22"/>
          <w:szCs w:val="22"/>
        </w:rPr>
        <w:t xml:space="preserve">David C. Thomas, MD — Dean for Medical Education</w:t>
      </w:r>
    </w:p>
    <w:p>
      <w:pPr>
        <w:pStyle w:val="ListParagraph"/>
        <w:numPr>
          <w:ilvl w:val="0"/>
          <w:numId w:val="2"/>
        </w:numPr>
        <w:spacing w:after="60"/>
      </w:pPr>
      <w:r>
        <w:rPr>
          <w:rFonts w:ascii="Calibri" w:cs="Calibri" w:eastAsia="Calibri" w:hAnsi="Calibri"/>
          <w:sz w:val="22"/>
          <w:szCs w:val="22"/>
        </w:rPr>
        <w:t xml:space="preserve">Steve Paik, MD — Senior Associate Dean for Student Affairs</w:t>
      </w:r>
    </w:p>
    <w:p>
      <w:pPr>
        <w:pStyle w:val="ListParagraph"/>
        <w:numPr>
          <w:ilvl w:val="0"/>
          <w:numId w:val="2"/>
        </w:numPr>
        <w:spacing w:after="60"/>
      </w:pPr>
      <w:r>
        <w:rPr>
          <w:rFonts w:ascii="Calibri" w:cs="Calibri" w:eastAsia="Calibri" w:hAnsi="Calibri"/>
          <w:sz w:val="22"/>
          <w:szCs w:val="22"/>
        </w:rPr>
        <w:t xml:space="preserve">Shashi Anand, MEd — Administrative Lead, Office of Curricular Affairs</w:t>
      </w:r>
    </w:p>
    <w:p>
      <w:pPr>
        <w:pStyle w:val="ListParagraph"/>
        <w:numPr>
          <w:ilvl w:val="0"/>
          <w:numId w:val="2"/>
        </w:numPr>
        <w:spacing w:after="60"/>
      </w:pPr>
      <w:r>
        <w:rPr>
          <w:rFonts w:ascii="Calibri" w:cs="Calibri" w:eastAsia="Calibri" w:hAnsi="Calibri"/>
          <w:sz w:val="22"/>
          <w:szCs w:val="22"/>
        </w:rPr>
        <w:t xml:space="preserve">Talia Swartz, MD-PhD</w:t>
      </w:r>
    </w:p>
    <w:p>
      <w:pPr>
        <w:pStyle w:val="Heading2"/>
      </w:pPr>
      <w:r>
        <w:rPr>
          <w:rFonts w:ascii="Calibri" w:cs="Calibri" w:eastAsia="Calibri" w:hAnsi="Calibri"/>
        </w:rPr>
        <w:t xml:space="preserve">Staff</w:t>
      </w:r>
    </w:p>
    <w:p>
      <w:pPr>
        <w:pStyle w:val="ListParagraph"/>
        <w:numPr>
          <w:ilvl w:val="0"/>
          <w:numId w:val="2"/>
        </w:numPr>
        <w:spacing w:after="60"/>
      </w:pPr>
      <w:r>
        <w:rPr>
          <w:rFonts w:ascii="Calibri" w:cs="Calibri" w:eastAsia="Calibri" w:hAnsi="Calibri"/>
          <w:sz w:val="22"/>
          <w:szCs w:val="22"/>
        </w:rPr>
        <w:t xml:space="preserve">Fatima Shafiq — Project Manager, Curricular Affairs (recording secretary)</w:t>
      </w:r>
    </w:p>
    <w:p>
      <w:pPr>
        <w:pBdr>
          <w:left w:val="single" w:color="C00000" w:sz="12" w:space="8"/>
        </w:pBdr>
        <w:spacing w:after="120" w:before="100"/>
        <w:ind w:left="360"/>
      </w:pPr>
      <w:r>
        <w:rPr>
          <w:rFonts w:ascii="Calibri" w:cs="Calibri" w:eastAsia="Calibri" w:hAnsi="Calibri"/>
          <w:b/>
          <w:bCs/>
          <w:i/>
          <w:iCs/>
          <w:color w:val="595959"/>
          <w:sz w:val="20"/>
          <w:szCs w:val="20"/>
        </w:rPr>
        <w:t xml:space="preserve">Flag for accreditation traceability: </w:t>
      </w:r>
      <w:r>
        <w:rPr>
          <w:rFonts w:ascii="Calibri" w:cs="Calibri" w:eastAsia="Calibri" w:hAnsi="Calibri"/>
          <w:i/>
          <w:iCs/>
          <w:color w:val="595959"/>
          <w:sz w:val="20"/>
          <w:szCs w:val="20"/>
        </w:rPr>
        <w:t xml:space="preserve">The transcript identifies named speakers but does not establish the full roll of all 9–10 voting members present at call to order. Reconciliation against the Office of Curricular Affairs sign-in record is recommended for the formal record.</w:t>
      </w:r>
    </w:p>
    <w:p>
      <w:pPr>
        <w:pStyle w:val="Heading1"/>
      </w:pPr>
      <w:r>
        <w:rPr>
          <w:rFonts w:ascii="Calibri" w:cs="Calibri" w:eastAsia="Calibri" w:hAnsi="Calibri"/>
        </w:rPr>
        <w:t xml:space="preserve">2. Call to Order, Quorum, and Approval of Agenda</w:t>
      </w:r>
    </w:p>
    <w:p>
      <w:pPr>
        <w:pStyle w:val="Heading2"/>
      </w:pPr>
      <w:r>
        <w:rPr>
          <w:rFonts w:ascii="Calibri" w:cs="Calibri" w:eastAsia="Calibri" w:hAnsi="Calibri"/>
        </w:rPr>
        <w:t xml:space="preserve">Pre-Meeting Discussion</w:t>
      </w:r>
    </w:p>
    <w:p>
      <w:pPr>
        <w:spacing w:after="120"/>
      </w:pPr>
      <w:r>
        <w:rPr>
          <w:rFonts w:ascii="Calibri" w:cs="Calibri" w:eastAsia="Calibri" w:hAnsi="Calibri"/>
          <w:sz w:val="22"/>
          <w:szCs w:val="22"/>
        </w:rPr>
        <w:t xml:space="preserve">Members joining briefly discussed a recent home incident in which the Chair experienced a 3:00 a.m. carbon monoxide alarm and had to evacuate her home (no injuries; no fire; furnace identified as source by National Grid). The Chair offered the experience as a public service announcement: residents should know what their carbon monoxide alarm sounds like, since most are unfamiliar and CO is odorless. Members exchanged related anecdotes.</w:t>
      </w:r>
    </w:p>
    <w:p>
      <w:pPr>
        <w:spacing w:after="120"/>
      </w:pPr>
      <w:r>
        <w:rPr>
          <w:rFonts w:ascii="Calibri" w:cs="Calibri" w:eastAsia="Calibri" w:hAnsi="Calibri"/>
          <w:sz w:val="22"/>
          <w:szCs w:val="22"/>
        </w:rPr>
        <w:t xml:space="preserve">Pre-meeting also included a discussion sparked by a clinical anecdote about a medical student who correctly answered the Chair’s favorite oral examination question — the layers of the abdomen above and below the arcuate line — with Dr. Stern noting the question is a good clinical correlate that connects anatomy teaching to C-section, and Dr. Soriano noting the curricular modifications already incorporated into anatomy precisely because of this kind of bedside-correlate teaching.</w:t>
      </w:r>
    </w:p>
    <w:p>
      <w:pPr>
        <w:pStyle w:val="Heading2"/>
      </w:pPr>
      <w:r>
        <w:rPr>
          <w:rFonts w:ascii="Calibri" w:cs="Calibri" w:eastAsia="Calibri" w:hAnsi="Calibri"/>
        </w:rPr>
        <w:t xml:space="preserve">Call to Order</w:t>
      </w:r>
    </w:p>
    <w:p>
      <w:pPr>
        <w:spacing w:after="120"/>
      </w:pPr>
      <w:r>
        <w:rPr>
          <w:rFonts w:ascii="Calibri" w:cs="Calibri" w:eastAsia="Calibri" w:hAnsi="Calibri"/>
          <w:sz w:val="22"/>
          <w:szCs w:val="22"/>
        </w:rPr>
        <w:t xml:space="preserve">The meeting was called to order by Dr. Michelle Francis, Chair, at approximately 12:17 p.m. ET, once Ms. Shafiq confirmed quorum (9–10 voting members).</w:t>
      </w:r>
    </w:p>
    <w:p>
      <w:pPr>
        <w:pStyle w:val="Heading2"/>
      </w:pPr>
      <w:r>
        <w:rPr>
          <w:rFonts w:ascii="Calibri" w:cs="Calibri" w:eastAsia="Calibri" w:hAnsi="Calibri"/>
        </w:rPr>
        <w:t xml:space="preserve">Quorum Determination</w:t>
      </w:r>
    </w:p>
    <w:p>
      <w:pPr>
        <w:spacing w:after="120"/>
      </w:pPr>
      <w:r>
        <w:rPr>
          <w:rFonts w:ascii="Calibri" w:cs="Calibri" w:eastAsia="Calibri" w:hAnsi="Calibri"/>
          <w:sz w:val="22"/>
          <w:szCs w:val="22"/>
        </w:rPr>
        <w:t xml:space="preserve">Quorum was confirmed by Ms. Shafiq. The quorum threshold is eight (8) voting members.</w:t>
      </w:r>
    </w:p>
    <w:p>
      <w:pPr>
        <w:pStyle w:val="Heading2"/>
      </w:pPr>
      <w:r>
        <w:rPr>
          <w:rFonts w:ascii="Calibri" w:cs="Calibri" w:eastAsia="Calibri" w:hAnsi="Calibri"/>
        </w:rPr>
        <w:t xml:space="preserve">Approval of Agenda</w:t>
      </w:r>
    </w:p>
    <w:p>
      <w:pPr>
        <w:spacing w:after="120"/>
      </w:pPr>
      <w:r>
        <w:rPr>
          <w:rFonts w:ascii="Calibri" w:cs="Calibri" w:eastAsia="Calibri" w:hAnsi="Calibri"/>
          <w:sz w:val="22"/>
          <w:szCs w:val="22"/>
        </w:rPr>
        <w:t xml:space="preserve">The agenda comprised two items: approval of the January 23, 2026 minutes; and approval of the Phase 2 Clerkship Information Sheets (CIS) — covering learning objectives, instructional methods, assessment methods, and required clinical experiences for all Phase 2 clerkships.</w:t>
      </w:r>
    </w:p>
    <w:p>
      <w:pPr>
        <w:pStyle w:val="Heading2"/>
      </w:pPr>
      <w:r>
        <w:rPr>
          <w:rFonts w:ascii="Calibri" w:cs="Calibri" w:eastAsia="Calibri" w:hAnsi="Calibri"/>
        </w:rPr>
        <w:t xml:space="preserve">Approval of Prior Meeting Minutes</w:t>
      </w:r>
    </w:p>
    <w:p>
      <w:pPr>
        <w:spacing w:after="120"/>
      </w:pPr>
      <w:r>
        <w:rPr>
          <w:rFonts w:ascii="Calibri" w:cs="Calibri" w:eastAsia="Calibri" w:hAnsi="Calibri"/>
          <w:sz w:val="22"/>
          <w:szCs w:val="22"/>
        </w:rPr>
        <w:t xml:space="preserve">The Chair presented the minutes from the January 23, 2026 EEC meeting for approval, inviting corrections or concerns. None were raised.</w:t>
      </w:r>
    </w:p>
    <w:p>
      <w:pPr>
        <w:spacing w:after="120"/>
      </w:pPr>
      <w:r>
        <w:rPr>
          <w:rFonts w:ascii="Calibri" w:cs="Calibri" w:eastAsia="Calibri" w:hAnsi="Calibri"/>
          <w:sz w:val="22"/>
          <w:szCs w:val="22"/>
        </w:rPr>
        <w:t xml:space="preserve">Outcome: Minutes from the January 23, 2026 EEC meeting were approved by unanimous consent.</w:t>
      </w:r>
    </w:p>
    <w:p>
      <w:pPr>
        <w:pStyle w:val="Heading1"/>
      </w:pPr>
      <w:r>
        <w:rPr>
          <w:rFonts w:ascii="Calibri" w:cs="Calibri" w:eastAsia="Calibri" w:hAnsi="Calibri"/>
        </w:rPr>
        <w:t xml:space="preserve">3. Subcommittee Reports</w:t>
      </w:r>
    </w:p>
    <w:p>
      <w:pPr>
        <w:spacing w:after="120"/>
      </w:pPr>
      <w:r>
        <w:rPr>
          <w:rFonts w:ascii="Calibri" w:cs="Calibri" w:eastAsia="Calibri" w:hAnsi="Calibri"/>
          <w:sz w:val="22"/>
          <w:szCs w:val="22"/>
        </w:rPr>
        <w:t xml:space="preserve">This meeting did not include a separately scheduled subcommittee report-out segment. The agenda item itself (Item 6.2 below) reflects extensive Clinical Curriculum Subcommittee (CCS) work led by Dr. Holzer, including external benchmarking against national specialty society recommendations (CDIM, ComSEP, AAN, ADMSEP, APCo, ACS / ASE) for RCE design.</w:t>
      </w:r>
    </w:p>
    <w:p>
      <w:pPr>
        <w:pStyle w:val="Heading1"/>
      </w:pPr>
      <w:r>
        <w:rPr>
          <w:rFonts w:ascii="Calibri" w:cs="Calibri" w:eastAsia="Calibri" w:hAnsi="Calibri"/>
        </w:rPr>
        <w:t xml:space="preserve">4. New Business</w:t>
      </w:r>
    </w:p>
    <w:p>
      <w:pPr>
        <w:spacing w:after="120"/>
      </w:pPr>
      <w:r>
        <w:rPr>
          <w:rFonts w:ascii="Calibri" w:cs="Calibri" w:eastAsia="Calibri" w:hAnsi="Calibri"/>
          <w:sz w:val="22"/>
          <w:szCs w:val="22"/>
        </w:rPr>
        <w:t xml:space="preserve">A new student-membership initiative was announced by Dr. Soriano under closing remarks (see Section 6.3 below).</w:t>
      </w:r>
    </w:p>
    <w:p>
      <w:pPr>
        <w:pStyle w:val="Heading1"/>
      </w:pPr>
      <w:r>
        <w:rPr>
          <w:rFonts w:ascii="Calibri" w:cs="Calibri" w:eastAsia="Calibri" w:hAnsi="Calibri"/>
        </w:rPr>
        <w:t xml:space="preserve">5. Review of Prior Action Items</w:t>
      </w:r>
    </w:p>
    <w:p>
      <w:pPr>
        <w:spacing w:after="120"/>
      </w:pPr>
      <w:r>
        <w:rPr>
          <w:rFonts w:ascii="Calibri" w:cs="Calibri" w:eastAsia="Calibri" w:hAnsi="Calibri"/>
          <w:sz w:val="22"/>
          <w:szCs w:val="22"/>
        </w:rPr>
        <w:t xml:space="preserve">This meeting completes the next major Phase 2 design vote following the Palliative Care Clerkship design (January 23, 2026) and the Ascend Electives Policy revisions (January 23, 2026), with the comprehensive Phase 2 CIS package coming forward as the LCME governance-anchor blueprint document for all clerkships. Carried over from the previous meeting: detailed Palliative Care Clerkship RCE specifications were included in this Phase 2 CIS package, and the formalization of mandatory reflection time during the Palliative Care Clerkship is being addressed through the related action item.</w:t>
      </w:r>
    </w:p>
    <w:p>
      <w:pPr>
        <w:pStyle w:val="Heading1"/>
      </w:pPr>
      <w:r>
        <w:rPr>
          <w:rFonts w:ascii="Calibri" w:cs="Calibri" w:eastAsia="Calibri" w:hAnsi="Calibri"/>
        </w:rPr>
        <w:t xml:space="preserve">6. Agenda Items — Review, Discussion, and Voting</w:t>
      </w:r>
    </w:p>
    <w:p>
      <w:pPr>
        <w:pStyle w:val="Heading2"/>
      </w:pPr>
      <w:r>
        <w:rPr>
          <w:rFonts w:ascii="Calibri" w:cs="Calibri" w:eastAsia="Calibri" w:hAnsi="Calibri"/>
        </w:rPr>
        <w:t xml:space="preserve">6.1  Approval of Minutes — January 23, 2026 EEC Meeting</w:t>
      </w:r>
    </w:p>
    <w:p>
      <w:pPr>
        <w:spacing w:after="120"/>
      </w:pPr>
      <w:r>
        <w:rPr>
          <w:rFonts w:ascii="Calibri" w:cs="Calibri" w:eastAsia="Calibri" w:hAnsi="Calibri"/>
          <w:b/>
          <w:bCs/>
          <w:sz w:val="22"/>
          <w:szCs w:val="22"/>
        </w:rPr>
        <w:t xml:space="preserve">Category: </w:t>
      </w:r>
      <w:r>
        <w:rPr>
          <w:rFonts w:ascii="Calibri" w:cs="Calibri" w:eastAsia="Calibri" w:hAnsi="Calibri"/>
          <w:b/>
          <w:bCs/>
          <w:color w:val="1F3A5F"/>
          <w:sz w:val="22"/>
          <w:szCs w:val="22"/>
        </w:rPr>
        <w:t xml:space="preserve">[VOTING ITEM] </w:t>
      </w:r>
      <w:r>
        <w:rPr>
          <w:rFonts w:ascii="Calibri" w:cs="Calibri" w:eastAsia="Calibri" w:hAnsi="Calibri"/>
          <w:i/>
          <w:iCs/>
          <w:sz w:val="22"/>
          <w:szCs w:val="22"/>
        </w:rPr>
        <w:t xml:space="preserve">(See Section 2 above; minutes approved by unanimous consent.)</w:t>
      </w:r>
    </w:p>
    <w:p>
      <w:pPr>
        <w:pStyle w:val="Heading2"/>
      </w:pPr>
      <w:r>
        <w:rPr>
          <w:rFonts w:ascii="Calibri" w:cs="Calibri" w:eastAsia="Calibri" w:hAnsi="Calibri"/>
        </w:rPr>
        <w:t xml:space="preserve">6.2  Phase 2 Ascend Curriculum — Clerkship Information Sheets (Learning Objectives, Instructional Methods, Assessment Methods, Required Clinical Experiences)</w:t>
      </w:r>
    </w:p>
    <w:p>
      <w:pPr>
        <w:spacing w:after="120"/>
      </w:pPr>
      <w:r>
        <w:rPr>
          <w:rFonts w:ascii="Calibri" w:cs="Calibri" w:eastAsia="Calibri" w:hAnsi="Calibri"/>
          <w:b/>
          <w:bCs/>
          <w:sz w:val="22"/>
          <w:szCs w:val="22"/>
        </w:rPr>
        <w:t xml:space="preserve">Category: </w:t>
      </w:r>
      <w:r>
        <w:rPr>
          <w:rFonts w:ascii="Calibri" w:cs="Calibri" w:eastAsia="Calibri" w:hAnsi="Calibri"/>
          <w:b/>
          <w:bCs/>
          <w:color w:val="1F3A5F"/>
          <w:sz w:val="22"/>
          <w:szCs w:val="22"/>
        </w:rPr>
        <w:t xml:space="preserve">[VOTING ITEM]</w:t>
      </w:r>
    </w:p>
    <w:p>
      <w:pPr>
        <w:spacing w:after="120"/>
      </w:pPr>
      <w:r>
        <w:rPr>
          <w:rFonts w:ascii="Calibri" w:cs="Calibri" w:eastAsia="Calibri" w:hAnsi="Calibri"/>
          <w:b/>
          <w:bCs/>
          <w:sz w:val="22"/>
          <w:szCs w:val="22"/>
        </w:rPr>
        <w:t xml:space="preserve">Presenter: </w:t>
      </w:r>
      <w:r>
        <w:rPr>
          <w:rFonts w:ascii="Calibri" w:cs="Calibri" w:eastAsia="Calibri" w:hAnsi="Calibri"/>
          <w:sz w:val="22"/>
          <w:szCs w:val="22"/>
        </w:rPr>
        <w:t xml:space="preserve">Teddy Holzer, MD</w:t>
      </w:r>
    </w:p>
    <w:p>
      <w:pPr>
        <w:spacing w:after="120"/>
      </w:pPr>
      <w:r>
        <w:rPr>
          <w:rFonts w:ascii="Calibri" w:cs="Calibri" w:eastAsia="Calibri" w:hAnsi="Calibri"/>
          <w:b/>
          <w:bCs/>
          <w:sz w:val="22"/>
          <w:szCs w:val="22"/>
        </w:rPr>
        <w:t xml:space="preserve">LCME Elements: </w:t>
      </w:r>
      <w:r>
        <w:rPr>
          <w:rFonts w:ascii="Calibri" w:cs="Calibri" w:eastAsia="Calibri" w:hAnsi="Calibri"/>
          <w:sz w:val="22"/>
          <w:szCs w:val="22"/>
        </w:rPr>
        <w:t xml:space="preserve">6.1 — Program and Learning Objectives; 6.x — Curricular Design; 7.x — Required Curricular Content; 8.1 — Curricular Management; 8.3 — Curricular Design, Review, Revision, Improvement; 8.7 — Comparability of Education / Assessment; 9.4 — Assessment System; 9.5 — Narrative Assessment; 9.7 — Formative Assessment and Feedback; 9.8 — Fair and Timely Summative Assessment</w:t>
      </w:r>
    </w:p>
    <w:p>
      <w:pPr>
        <w:pStyle w:val="Heading3"/>
      </w:pPr>
      <w:r>
        <w:rPr>
          <w:rFonts w:ascii="Calibri" w:cs="Calibri" w:eastAsia="Calibri" w:hAnsi="Calibri"/>
        </w:rPr>
        <w:t xml:space="preserve">Procedural Note</w:t>
      </w:r>
    </w:p>
    <w:p>
      <w:pPr>
        <w:spacing w:after="120"/>
      </w:pPr>
      <w:r>
        <w:rPr>
          <w:rFonts w:ascii="Calibri" w:cs="Calibri" w:eastAsia="Calibri" w:hAnsi="Calibri"/>
          <w:sz w:val="22"/>
          <w:szCs w:val="22"/>
        </w:rPr>
        <w:t xml:space="preserve">Dr. Holzer was recognized by the Chair, brought a motion to present the Phase 2 Ascend curriculum learning objectives, instructional methods, assessment methods, and required clinical experiences for review and approval through the medium of the clerkship information sheets, and was seconded by Dr. Sreekala Raghavan and Dr. Tonia Kim.</w:t>
      </w:r>
    </w:p>
    <w:p>
      <w:pPr>
        <w:pStyle w:val="Heading3"/>
      </w:pPr>
      <w:r>
        <w:rPr>
          <w:rFonts w:ascii="Calibri" w:cs="Calibri" w:eastAsia="Calibri" w:hAnsi="Calibri"/>
        </w:rPr>
        <w:t xml:space="preserve">Purpose of the Clerkship Information Sheet (CIS)</w:t>
      </w:r>
    </w:p>
    <w:p>
      <w:pPr>
        <w:spacing w:after="120"/>
      </w:pPr>
      <w:r>
        <w:rPr>
          <w:rFonts w:ascii="Calibri" w:cs="Calibri" w:eastAsia="Calibri" w:hAnsi="Calibri"/>
          <w:sz w:val="22"/>
          <w:szCs w:val="22"/>
        </w:rPr>
        <w:t xml:space="preserve">The CIS is a blueprint for each clerkship and serves as a governance anchor presenting the clerkship objectives, required clinical experiences, assessment modalities, grading breakdown, instructional methods, clerkship contacts, relevant policies, and scheduling information. The CIS for each Phase 2 clerkship was distributed to the EEC the day before the meeting (with the recognition that there is a substantial volume of information). The presentation today summarizes what is changing relative to the legacy curriculum and highlights the new Phase 2 clerkships (palliative care; emergency medicine moved from a legacy Year 4 clerkship to a Phase 2 clerkship in the Ascend curriculum) and LCME-aligned refinements.</w:t>
      </w:r>
    </w:p>
    <w:p>
      <w:pPr>
        <w:pStyle w:val="Heading3"/>
      </w:pPr>
      <w:r>
        <w:rPr>
          <w:rFonts w:ascii="Calibri" w:cs="Calibri" w:eastAsia="Calibri" w:hAnsi="Calibri"/>
        </w:rPr>
        <w:t xml:space="preserve">Goals and Objectives</w:t>
      </w:r>
    </w:p>
    <w:p>
      <w:pPr>
        <w:spacing w:after="120"/>
      </w:pPr>
      <w:r>
        <w:rPr>
          <w:rFonts w:ascii="Calibri" w:cs="Calibri" w:eastAsia="Calibri" w:hAnsi="Calibri"/>
          <w:sz w:val="22"/>
          <w:szCs w:val="22"/>
        </w:rPr>
        <w:t xml:space="preserve">Each clerkship’s learning objectives are mapped to the overall Medical Education Program Objectives (MEPOs); clerkships are designed backwards from those objectives. The two new clerkships:</w:t>
      </w:r>
    </w:p>
    <w:p>
      <w:pPr>
        <w:pStyle w:val="ListParagraph"/>
        <w:numPr>
          <w:ilvl w:val="0"/>
          <w:numId w:val="2"/>
        </w:numPr>
        <w:spacing w:after="60"/>
      </w:pPr>
      <w:r>
        <w:rPr>
          <w:rFonts w:ascii="Calibri" w:cs="Calibri" w:eastAsia="Calibri" w:hAnsi="Calibri"/>
          <w:sz w:val="22"/>
          <w:szCs w:val="22"/>
        </w:rPr>
        <w:t xml:space="preserve">Palliative Care Clerkship — mission and objectives previously approved at January 23, 2026 EEC meeting.</w:t>
      </w:r>
    </w:p>
    <w:p>
      <w:pPr>
        <w:pStyle w:val="ListParagraph"/>
        <w:numPr>
          <w:ilvl w:val="0"/>
          <w:numId w:val="2"/>
        </w:numPr>
        <w:spacing w:after="60"/>
      </w:pPr>
      <w:r>
        <w:rPr>
          <w:rFonts w:ascii="Calibri" w:cs="Calibri" w:eastAsia="Calibri" w:hAnsi="Calibri"/>
          <w:sz w:val="22"/>
          <w:szCs w:val="22"/>
        </w:rPr>
        <w:t xml:space="preserve">Emergency Medicine — objectives reframed from the legacy Year 4 clerkship to focus on knowledge and skills most relevant to the Phase 2 (Year 2 / Year 3) context.</w:t>
      </w:r>
    </w:p>
    <w:p>
      <w:pPr>
        <w:pStyle w:val="ListParagraph"/>
        <w:numPr>
          <w:ilvl w:val="0"/>
          <w:numId w:val="2"/>
        </w:numPr>
        <w:spacing w:after="60"/>
      </w:pPr>
      <w:r>
        <w:rPr>
          <w:rFonts w:ascii="Calibri" w:cs="Calibri" w:eastAsia="Calibri" w:hAnsi="Calibri"/>
          <w:sz w:val="22"/>
          <w:szCs w:val="22"/>
        </w:rPr>
        <w:t xml:space="preserve">Remaining clerkships — wordsmithing of objectives only, no substantive changes.</w:t>
      </w:r>
    </w:p>
    <w:p>
      <w:pPr>
        <w:pStyle w:val="Heading3"/>
      </w:pPr>
      <w:r>
        <w:rPr>
          <w:rFonts w:ascii="Calibri" w:cs="Calibri" w:eastAsia="Calibri" w:hAnsi="Calibri"/>
        </w:rPr>
        <w:t xml:space="preserve">Instructional Methods</w:t>
      </w:r>
    </w:p>
    <w:p>
      <w:pPr>
        <w:spacing w:after="120"/>
      </w:pPr>
      <w:r>
        <w:rPr>
          <w:rFonts w:ascii="Calibri" w:cs="Calibri" w:eastAsia="Calibri" w:hAnsi="Calibri"/>
          <w:sz w:val="22"/>
          <w:szCs w:val="22"/>
        </w:rPr>
        <w:t xml:space="preserve">Core elements unchanged: high-touch clinical instruction, ward rounds, preceptorship, oral and written case presentations remain core to clerkships. At a 30,000-foot view, what is changing for Phase 2 is greater emphasis on active learning modalities:</w:t>
      </w:r>
    </w:p>
    <w:p>
      <w:pPr>
        <w:pStyle w:val="ListParagraph"/>
        <w:numPr>
          <w:ilvl w:val="0"/>
          <w:numId w:val="2"/>
        </w:numPr>
        <w:spacing w:after="60"/>
      </w:pPr>
      <w:r>
        <w:rPr>
          <w:rFonts w:ascii="Calibri" w:cs="Calibri" w:eastAsia="Calibri" w:hAnsi="Calibri"/>
          <w:sz w:val="22"/>
          <w:szCs w:val="22"/>
        </w:rPr>
        <w:t xml:space="preserve">Team-based learning sessions in psychiatry.</w:t>
      </w:r>
    </w:p>
    <w:p>
      <w:pPr>
        <w:pStyle w:val="ListParagraph"/>
        <w:numPr>
          <w:ilvl w:val="0"/>
          <w:numId w:val="2"/>
        </w:numPr>
        <w:spacing w:after="60"/>
      </w:pPr>
      <w:r>
        <w:rPr>
          <w:rFonts w:ascii="Calibri" w:cs="Calibri" w:eastAsia="Calibri" w:hAnsi="Calibri"/>
          <w:sz w:val="22"/>
          <w:szCs w:val="22"/>
        </w:rPr>
        <w:t xml:space="preserve">Highly interactive case-based learning in radiology areas.</w:t>
      </w:r>
    </w:p>
    <w:p>
      <w:pPr>
        <w:pStyle w:val="ListParagraph"/>
        <w:numPr>
          <w:ilvl w:val="0"/>
          <w:numId w:val="2"/>
        </w:numPr>
        <w:spacing w:after="60"/>
      </w:pPr>
      <w:r>
        <w:rPr>
          <w:rFonts w:ascii="Calibri" w:cs="Calibri" w:eastAsia="Calibri" w:hAnsi="Calibri"/>
          <w:sz w:val="22"/>
          <w:szCs w:val="22"/>
        </w:rPr>
        <w:t xml:space="preserve">Continued use of simulation (mannequins, standardized patients) for both teaching and assessment.</w:t>
      </w:r>
    </w:p>
    <w:p>
      <w:pPr>
        <w:pStyle w:val="ListParagraph"/>
        <w:numPr>
          <w:ilvl w:val="0"/>
          <w:numId w:val="2"/>
        </w:numPr>
        <w:spacing w:after="60"/>
      </w:pPr>
      <w:r>
        <w:rPr>
          <w:rFonts w:ascii="Calibri" w:cs="Calibri" w:eastAsia="Calibri" w:hAnsi="Calibri"/>
          <w:sz w:val="22"/>
          <w:szCs w:val="22"/>
        </w:rPr>
        <w:t xml:space="preserve">New AI-based simulation platform — SimConverse — to be deployed first in the Transition to Phase 2 Week, the medicine clerkship, and the palliative care clerkship. Particularly suited to practicing communication skills that are difficult to practice in the real world (e.g., delivering serious news about a new cancer diagnosis, where students cannot lead the conversation in a real encounter).</w:t>
      </w:r>
    </w:p>
    <w:p>
      <w:pPr>
        <w:pStyle w:val="Heading3"/>
      </w:pPr>
      <w:r>
        <w:rPr>
          <w:rFonts w:ascii="Calibri" w:cs="Calibri" w:eastAsia="Calibri" w:hAnsi="Calibri"/>
        </w:rPr>
        <w:t xml:space="preserve">Assessment Framework — Triad</w:t>
      </w:r>
    </w:p>
    <w:p>
      <w:pPr>
        <w:spacing w:after="120"/>
      </w:pPr>
      <w:r>
        <w:rPr>
          <w:rFonts w:ascii="Calibri" w:cs="Calibri" w:eastAsia="Calibri" w:hAnsi="Calibri"/>
          <w:sz w:val="22"/>
          <w:szCs w:val="22"/>
        </w:rPr>
        <w:t xml:space="preserve">The backbone of Phase 2 assessment is the triad of clinical evaluation, direct observation (workplace-based + Morchand Center), and NBME shelf examinations — used in every clerkship. This triad assesses medical knowledge, clinical skills (in real-world synchronous encounters and standardized encounters), and integration. Additional methods used across multiple clerkships: oral / written case presentations; surgery quizzes; online module pass-fail. SimConverse will be used as a formative assessment method (not used to determine honors versus pass).</w:t>
      </w:r>
    </w:p>
    <w:p>
      <w:pPr>
        <w:pStyle w:val="Heading3"/>
      </w:pPr>
      <w:r>
        <w:rPr>
          <w:rFonts w:ascii="Calibri" w:cs="Calibri" w:eastAsia="Calibri" w:hAnsi="Calibri"/>
        </w:rPr>
        <w:t xml:space="preserve">Direct Observation Changes</w:t>
      </w:r>
    </w:p>
    <w:p>
      <w:pPr>
        <w:pStyle w:val="ListParagraph"/>
        <w:numPr>
          <w:ilvl w:val="0"/>
          <w:numId w:val="2"/>
        </w:numPr>
        <w:spacing w:after="60"/>
      </w:pPr>
      <w:r>
        <w:rPr>
          <w:rFonts w:ascii="Calibri" w:cs="Calibri" w:eastAsia="Calibri" w:hAnsi="Calibri"/>
          <w:sz w:val="22"/>
          <w:szCs w:val="22"/>
        </w:rPr>
        <w:t xml:space="preserve">Every clerkship retains a workplace-based direct observation. Every clerkship except emergency medicine retains a Morchand Center DO. Emergency medicine has six simulation sessions spread across the clerkship that assess history-taking, physical exam, and communication.</w:t>
      </w:r>
    </w:p>
    <w:p>
      <w:pPr>
        <w:pStyle w:val="ListParagraph"/>
        <w:numPr>
          <w:ilvl w:val="0"/>
          <w:numId w:val="2"/>
        </w:numPr>
        <w:spacing w:after="60"/>
      </w:pPr>
      <w:r>
        <w:rPr>
          <w:rFonts w:ascii="Calibri" w:cs="Calibri" w:eastAsia="Calibri" w:hAnsi="Calibri"/>
          <w:sz w:val="22"/>
          <w:szCs w:val="22"/>
        </w:rPr>
        <w:t xml:space="preserve">Palliative Care — new DO. Students practice delivering serious news on the SimConverse AI platform (formative); summative DO uses a renal cancer SP case in SPIKES format. Second DO is palliative care assessment with a serious illness SP.</w:t>
      </w:r>
    </w:p>
    <w:p>
      <w:pPr>
        <w:pStyle w:val="ListParagraph"/>
        <w:numPr>
          <w:ilvl w:val="0"/>
          <w:numId w:val="2"/>
        </w:numPr>
        <w:spacing w:after="60"/>
      </w:pPr>
      <w:r>
        <w:rPr>
          <w:rFonts w:ascii="Calibri" w:cs="Calibri" w:eastAsia="Calibri" w:hAnsi="Calibri"/>
          <w:sz w:val="22"/>
          <w:szCs w:val="22"/>
        </w:rPr>
        <w:t xml:space="preserve">Surgery / Anesthesiology — revamped, two DOs. Anesthesiology DO: perioperative evaluation plus airway assessment in preparation for an operation — valuable across specialties. Surgery DO: changed from H&amp;P of a patient with abdominal pain (perceived as repetitive with other clerkship and pre-clerkship activities) to communication of high-stakes clinical recommendations — a patient going for cholecystectomy with the student tasked to communicate procedure, risks, and benefits.</w:t>
      </w:r>
    </w:p>
    <w:p>
      <w:pPr>
        <w:pStyle w:val="ListParagraph"/>
        <w:numPr>
          <w:ilvl w:val="0"/>
          <w:numId w:val="2"/>
        </w:numPr>
        <w:spacing w:after="60"/>
      </w:pPr>
      <w:r>
        <w:rPr>
          <w:rFonts w:ascii="Calibri" w:cs="Calibri" w:eastAsia="Calibri" w:hAnsi="Calibri"/>
          <w:sz w:val="22"/>
          <w:szCs w:val="22"/>
        </w:rPr>
        <w:t xml:space="preserve">Medicine — completely revamped DO focused on transitions of care; communications-and-interpersonal-skill-based; the student provides patient education surrounding an upcoming discharge. Fits into a transitions-of-care thread throughout the clerkship.</w:t>
      </w:r>
    </w:p>
    <w:p>
      <w:pPr>
        <w:pStyle w:val="Heading3"/>
      </w:pPr>
      <w:r>
        <w:rPr>
          <w:rFonts w:ascii="Calibri" w:cs="Calibri" w:eastAsia="Calibri" w:hAnsi="Calibri"/>
        </w:rPr>
        <w:t xml:space="preserve">Required Clinical Experiences (RCEs) — Methodology</w:t>
      </w:r>
    </w:p>
    <w:p>
      <w:pPr>
        <w:spacing w:after="120"/>
      </w:pPr>
      <w:r>
        <w:rPr>
          <w:rFonts w:ascii="Calibri" w:cs="Calibri" w:eastAsia="Calibri" w:hAnsi="Calibri"/>
          <w:sz w:val="22"/>
          <w:szCs w:val="22"/>
        </w:rPr>
        <w:t xml:space="preserve">The RCE policy at Sinai distinguishes procedural RCEs (with three levels: active exposure, active participation — assist, active participation — full performance) from non-procedural / clinical-condition RCEs (with four skill levels). The Phase 2 RCE methodology combined an internal review (CCS deliberation on breadth, depth, completion rates, feasibility) with external benchmarking against national professional society recommendations (CDIM, ComSEP, AAN, ADMSEP, APCo, ACS / ASE), to think laterally about what should be added back in rather than only removing infeasible items.</w:t>
      </w:r>
    </w:p>
    <w:p>
      <w:pPr>
        <w:pStyle w:val="Heading3"/>
      </w:pPr>
      <w:r>
        <w:rPr>
          <w:rFonts w:ascii="Calibri" w:cs="Calibri" w:eastAsia="Calibri" w:hAnsi="Calibri"/>
        </w:rPr>
        <w:t xml:space="preserve">RCE Changes by Clerkship</w:t>
      </w:r>
    </w:p>
    <w:p>
      <w:pPr>
        <w:pStyle w:val="ListParagraph"/>
        <w:numPr>
          <w:ilvl w:val="0"/>
          <w:numId w:val="2"/>
        </w:numPr>
        <w:spacing w:after="60"/>
      </w:pPr>
      <w:r>
        <w:rPr>
          <w:rFonts w:ascii="Calibri" w:cs="Calibri" w:eastAsia="Calibri" w:hAnsi="Calibri"/>
          <w:sz w:val="22"/>
          <w:szCs w:val="22"/>
        </w:rPr>
        <w:t xml:space="preserve">Emergency Medicine — focused on differentiated high-acuity patients. Some legacy RCEs revised for precision: respiratory distress → dyspnea (clearer focus); shock → reclassified as resuscitation. EM is now the venue for IV placement and venipuncture (full performance, every student, before graduation).</w:t>
      </w:r>
    </w:p>
    <w:p>
      <w:pPr>
        <w:pStyle w:val="ListParagraph"/>
        <w:numPr>
          <w:ilvl w:val="0"/>
          <w:numId w:val="2"/>
        </w:numPr>
        <w:spacing w:after="60"/>
      </w:pPr>
      <w:r>
        <w:rPr>
          <w:rFonts w:ascii="Calibri" w:cs="Calibri" w:eastAsia="Calibri" w:hAnsi="Calibri"/>
          <w:sz w:val="22"/>
          <w:szCs w:val="22"/>
        </w:rPr>
        <w:t xml:space="preserve">Palliative Care — RCEs as previously approved at January 23, 2026 EEC meeting (values assessment; nociceptive pain; neuropathic pain; CAM assessment; ESAS scale; observe family meeting).</w:t>
      </w:r>
    </w:p>
    <w:p>
      <w:pPr>
        <w:pStyle w:val="ListParagraph"/>
        <w:numPr>
          <w:ilvl w:val="0"/>
          <w:numId w:val="2"/>
        </w:numPr>
        <w:spacing w:after="60"/>
      </w:pPr>
      <w:r>
        <w:rPr>
          <w:rFonts w:ascii="Calibri" w:cs="Calibri" w:eastAsia="Calibri" w:hAnsi="Calibri"/>
          <w:sz w:val="22"/>
          <w:szCs w:val="22"/>
        </w:rPr>
        <w:t xml:space="preserve">Internal Medicine — add 3 RCEs based on CDIM recommendations: substance use disorder; syncope or pre-syncope; chest X-ray interpretation.</w:t>
      </w:r>
    </w:p>
    <w:p>
      <w:pPr>
        <w:pStyle w:val="ListParagraph"/>
        <w:numPr>
          <w:ilvl w:val="0"/>
          <w:numId w:val="2"/>
        </w:numPr>
        <w:spacing w:after="60"/>
      </w:pPr>
      <w:r>
        <w:rPr>
          <w:rFonts w:ascii="Calibri" w:cs="Calibri" w:eastAsia="Calibri" w:hAnsi="Calibri"/>
          <w:sz w:val="22"/>
          <w:szCs w:val="22"/>
        </w:rPr>
        <w:t xml:space="preserve">Neurology — add numbness / paresthesia / neuropathic pain (American Academy of Neurology recommendation). Add review brain imaging as an RCE (radiology-content review). Headache moved from EM to neurology as the appropriate clinical context.</w:t>
      </w:r>
    </w:p>
    <w:p>
      <w:pPr>
        <w:pStyle w:val="ListParagraph"/>
        <w:numPr>
          <w:ilvl w:val="0"/>
          <w:numId w:val="2"/>
        </w:numPr>
        <w:spacing w:after="60"/>
      </w:pPr>
      <w:r>
        <w:rPr>
          <w:rFonts w:ascii="Calibri" w:cs="Calibri" w:eastAsia="Calibri" w:hAnsi="Calibri"/>
          <w:sz w:val="22"/>
          <w:szCs w:val="22"/>
        </w:rPr>
        <w:t xml:space="preserve">Psychiatry — add anxiety as RCE (ADMSEP recommendation); common presenting problem.</w:t>
      </w:r>
    </w:p>
    <w:p>
      <w:pPr>
        <w:pStyle w:val="ListParagraph"/>
        <w:numPr>
          <w:ilvl w:val="0"/>
          <w:numId w:val="2"/>
        </w:numPr>
        <w:spacing w:after="60"/>
      </w:pPr>
      <w:r>
        <w:rPr>
          <w:rFonts w:ascii="Calibri" w:cs="Calibri" w:eastAsia="Calibri" w:hAnsi="Calibri"/>
          <w:sz w:val="22"/>
          <w:szCs w:val="22"/>
        </w:rPr>
        <w:t xml:space="preserve">Pediatrics — add adolescent interview (most students were already doing this informally; formalization). Add nutritional status assessment (LCME nutrition mapping; ComSEP recommendation).</w:t>
      </w:r>
    </w:p>
    <w:p>
      <w:pPr>
        <w:pStyle w:val="ListParagraph"/>
        <w:numPr>
          <w:ilvl w:val="0"/>
          <w:numId w:val="2"/>
        </w:numPr>
        <w:spacing w:after="60"/>
      </w:pPr>
      <w:r>
        <w:rPr>
          <w:rFonts w:ascii="Calibri" w:cs="Calibri" w:eastAsia="Calibri" w:hAnsi="Calibri"/>
          <w:sz w:val="22"/>
          <w:szCs w:val="22"/>
        </w:rPr>
        <w:t xml:space="preserve">OB-GYN — add obstetrical ultrasound for fetal presentation (APCo recommendation). Transvaginal ultrasound, also recommended by APCo, was deemed too advanced at the MD level and more appropriate for residency training in a relevant specialty.</w:t>
      </w:r>
    </w:p>
    <w:p>
      <w:pPr>
        <w:pStyle w:val="ListParagraph"/>
        <w:numPr>
          <w:ilvl w:val="0"/>
          <w:numId w:val="2"/>
        </w:numPr>
        <w:spacing w:after="60"/>
      </w:pPr>
      <w:r>
        <w:rPr>
          <w:rFonts w:ascii="Calibri" w:cs="Calibri" w:eastAsia="Calibri" w:hAnsi="Calibri"/>
          <w:sz w:val="22"/>
          <w:szCs w:val="22"/>
        </w:rPr>
        <w:t xml:space="preserve">Surgery / Anesthesiology — add chest X-ray interpretation, EKG interpretation. (Internal Medicine and EM also add chest X-ray and EKG interpretation.) EM additionally adds FAST exam performance and FAST exam interpretation. Future RCE candidates flagged for next iteration (would require structural change): bariatric nutrition; abdominal pain; abdominal mass; retroperitoneal mass; groin mass. Bariatric nutrition content will be added in this iteration without formal RCE designation.</w:t>
      </w:r>
    </w:p>
    <w:p>
      <w:pPr>
        <w:pStyle w:val="Heading3"/>
      </w:pPr>
      <w:r>
        <w:rPr>
          <w:rFonts w:ascii="Calibri" w:cs="Calibri" w:eastAsia="Calibri" w:hAnsi="Calibri"/>
        </w:rPr>
        <w:t xml:space="preserve">Online Radiology Course Sunset</w:t>
      </w:r>
    </w:p>
    <w:p>
      <w:pPr>
        <w:spacing w:after="120"/>
      </w:pPr>
      <w:r>
        <w:rPr>
          <w:rFonts w:ascii="Calibri" w:cs="Calibri" w:eastAsia="Calibri" w:hAnsi="Calibri"/>
          <w:sz w:val="22"/>
          <w:szCs w:val="22"/>
        </w:rPr>
        <w:t xml:space="preserve">Traditionally there was a separate radiology course running parallel to clerkships in the legacy curriculum (the online radiology course). Based on student feedback, this course has been removed and the content integrated into the actual clerkships themselves with appropriate breadth and depth across the year. The new RCEs across clerkships (obstetrical ultrasound, brain imaging, chest X-ray interpretation, EKG interpretation, FAST exam performance and interpretation) reflect this redistribution.</w:t>
      </w:r>
    </w:p>
    <w:p>
      <w:pPr>
        <w:pStyle w:val="Heading3"/>
      </w:pPr>
      <w:r>
        <w:rPr>
          <w:rFonts w:ascii="Calibri" w:cs="Calibri" w:eastAsia="Calibri" w:hAnsi="Calibri"/>
        </w:rPr>
        <w:t xml:space="preserve">Member Discussion — Workplace-Based DO Assessor</w:t>
      </w:r>
    </w:p>
    <w:p>
      <w:pPr>
        <w:spacing w:after="120"/>
      </w:pPr>
      <w:r>
        <w:rPr>
          <w:rFonts w:ascii="Calibri" w:cs="Calibri" w:eastAsia="Calibri" w:hAnsi="Calibri"/>
          <w:sz w:val="22"/>
          <w:szCs w:val="22"/>
        </w:rPr>
        <w:t xml:space="preserve">Dr. Tonia Kim asked whether the workplace-based direct observation is performed by the student’s current resident / attending or by a separate, more objective assessor. Dr. Holzer confirmed: in almost every clerkship, the assessor is from the team the student is rotating with — someone who knows them. The DO is a requirement to pass the clerkship but is mainly formative, designed as an opportunity to receive feedback on history-taking, physical exam, and communication. Each clerkship has a rubric provided to faculty, and a major part of each clerkship director’s job is faculty development around those rubrics. Dr. Soriano added that LCME does not mandate who the residents or supervisors are, but that the school is only as good as its rubric — the more objective the rubric is, and the more clearly defined the skill being assessed, the more standardization is achieved across what is otherwise an inherent challenge of any clerkship in any health system.</w:t>
      </w:r>
    </w:p>
    <w:p>
      <w:pPr>
        <w:pStyle w:val="Heading3"/>
      </w:pPr>
      <w:r>
        <w:rPr>
          <w:rFonts w:ascii="Calibri" w:cs="Calibri" w:eastAsia="Calibri" w:hAnsi="Calibri"/>
        </w:rPr>
        <w:t xml:space="preserve">Member Discussion — Class of 2027 EM Clerkship</w:t>
      </w:r>
    </w:p>
    <w:p>
      <w:pPr>
        <w:spacing w:after="120"/>
      </w:pPr>
      <w:r>
        <w:rPr>
          <w:rFonts w:ascii="Calibri" w:cs="Calibri" w:eastAsia="Calibri" w:hAnsi="Calibri"/>
          <w:sz w:val="22"/>
          <w:szCs w:val="22"/>
        </w:rPr>
        <w:t xml:space="preserve">Mr. Jamie Frost asked whether the Class of 2027 (currently in clerkships) will follow the Phase 2 EM CIS or the legacy EM CIS. Dr. Holzer confirmed: Class of 2027 follows the legacy emergency medicine clerkship; the Phase 2 CIS applies to subsequent classes.</w:t>
      </w:r>
    </w:p>
    <w:p>
      <w:pPr>
        <w:pStyle w:val="Heading3"/>
      </w:pPr>
      <w:r>
        <w:rPr>
          <w:rFonts w:ascii="Calibri" w:cs="Calibri" w:eastAsia="Calibri" w:hAnsi="Calibri"/>
        </w:rPr>
        <w:t xml:space="preserve">New Voting Procedure Introduced — Opposition via Direct Message to the Chair</w:t>
      </w:r>
    </w:p>
    <w:p>
      <w:pPr>
        <w:spacing w:after="120"/>
      </w:pPr>
      <w:r>
        <w:rPr>
          <w:rFonts w:ascii="Calibri" w:cs="Calibri" w:eastAsia="Calibri" w:hAnsi="Calibri"/>
          <w:sz w:val="22"/>
          <w:szCs w:val="22"/>
        </w:rPr>
        <w:t xml:space="preserve">The Chair, before bringing the motion to the vote, raised a procedural suggestion brought by Dr. Steve Paik (Senior Associate Dean for Student Affairs; newly seated). Dr. Paik proposed that members who oppose a motion direct-message the Chair, with all other members considered as voting through. The Chair endorsed the proposal as a streamlining of committee work, contingent on member acceptance.</w:t>
      </w:r>
    </w:p>
    <w:p>
      <w:pPr>
        <w:spacing w:after="120"/>
      </w:pPr>
      <w:r>
        <w:rPr>
          <w:rFonts w:ascii="Calibri" w:cs="Calibri" w:eastAsia="Calibri" w:hAnsi="Calibri"/>
          <w:sz w:val="22"/>
          <w:szCs w:val="22"/>
        </w:rPr>
        <w:t xml:space="preserve">Dr. Paik clarified that motion / second remain required. The Chair concurred. No member objected to the new procedure.</w:t>
      </w:r>
    </w:p>
    <w:p>
      <w:pPr>
        <w:pBdr>
          <w:left w:val="single" w:color="C00000" w:sz="12" w:space="8"/>
        </w:pBdr>
        <w:spacing w:after="120" w:before="100"/>
        <w:ind w:left="360"/>
      </w:pPr>
      <w:r>
        <w:rPr>
          <w:rFonts w:ascii="Calibri" w:cs="Calibri" w:eastAsia="Calibri" w:hAnsi="Calibri"/>
          <w:b/>
          <w:bCs/>
          <w:i/>
          <w:iCs/>
          <w:color w:val="595959"/>
          <w:sz w:val="20"/>
          <w:szCs w:val="20"/>
        </w:rPr>
        <w:t xml:space="preserve">Flag for accreditation traceability: </w:t>
      </w:r>
      <w:r>
        <w:rPr>
          <w:rFonts w:ascii="Calibri" w:cs="Calibri" w:eastAsia="Calibri" w:hAnsi="Calibri"/>
          <w:i/>
          <w:iCs/>
          <w:color w:val="595959"/>
          <w:sz w:val="20"/>
          <w:szCs w:val="20"/>
        </w:rPr>
        <w:t xml:space="preserve">Effective at this meeting and going forward: opposition votes are directed via private message to the Chair; absence of opposition is treated as voting through. Motion / second remain required. This procedure is intended to streamline committee voting while still permitting members to register dissent privately. Implementation should be reflected in the EEC Handbook (CODA) and in subsequent meeting agendas.</w:t>
      </w:r>
    </w:p>
    <w:p>
      <w:pPr>
        <w:pStyle w:val="Heading3"/>
      </w:pPr>
      <w:r>
        <w:rPr>
          <w:rFonts w:ascii="Calibri" w:cs="Calibri" w:eastAsia="Calibri" w:hAnsi="Calibri"/>
        </w:rPr>
        <w:t xml:space="preserve">Vote — Phase 2 Clerkship Information Sheets Package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Motion</w:t>
            </w:r>
          </w:p>
        </w:tc>
        <w:tc>
          <w:tcPr>
            <w:tcW w:type="dxa" w:w="69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To approve the Phase 2 Ascend curriculum clerkship information sheets, including: clerkship learning objectives (Palliative Care, Emergency Medicine reframed for Phase 2, remaining clerkships wordsmithed); instructional methods (greater emphasis on active learning; SimConverse rolled out in Transition to Phase 2, medicine, palliative care); assessment framework triad (clinical evaluation + DO + NBME); direct observation changes (palliative care DOs; surgery and anesthesiology revamped DOs; medicine transitions-of-care DO); RCE additions (per detailed slide and CIS package: EM, palliative care, internal medicine, neurology, psychiatry, pediatrics, OB-GYN, surgery / anesthesiology); and removal of the standalone online radiology course with content integrated into clerkships.</w:t>
            </w:r>
          </w:p>
        </w:tc>
      </w:tr>
      <w:tr>
        <w:tc>
          <w:tcPr>
            <w:tcW w:type="dxa" w:w="24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Moved by</w:t>
            </w:r>
          </w:p>
        </w:tc>
        <w:tc>
          <w:tcPr>
            <w:tcW w:type="dxa" w:w="69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Sreekala Raghavan, MD (“Move to approve.”)</w:t>
            </w:r>
          </w:p>
        </w:tc>
      </w:tr>
      <w:tr>
        <w:tc>
          <w:tcPr>
            <w:tcW w:type="dxa" w:w="24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Seconded by</w:t>
            </w:r>
          </w:p>
        </w:tc>
        <w:tc>
          <w:tcPr>
            <w:tcW w:type="dxa" w:w="69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Richard Stern, MD</w:t>
            </w:r>
          </w:p>
        </w:tc>
      </w:tr>
      <w:tr>
        <w:tc>
          <w:tcPr>
            <w:tcW w:type="dxa" w:w="24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In favor</w:t>
            </w:r>
          </w:p>
        </w:tc>
        <w:tc>
          <w:tcPr>
            <w:tcW w:type="dxa" w:w="69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Confirmed by show of hands and absence of opposition messages to the Chair, under the new opposition-via-DM procedure adopted at this meeting.</w:t>
            </w:r>
          </w:p>
        </w:tc>
      </w:tr>
      <w:tr>
        <w:tc>
          <w:tcPr>
            <w:tcW w:type="dxa" w:w="24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Opposed</w:t>
            </w:r>
          </w:p>
        </w:tc>
        <w:tc>
          <w:tcPr>
            <w:tcW w:type="dxa" w:w="69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None received via direct message; no objections raised on the record.</w:t>
            </w:r>
          </w:p>
        </w:tc>
      </w:tr>
      <w:tr>
        <w:tc>
          <w:tcPr>
            <w:tcW w:type="dxa" w:w="24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Abstentions</w:t>
            </w:r>
          </w:p>
        </w:tc>
        <w:tc>
          <w:tcPr>
            <w:tcW w:type="dxa" w:w="69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Not stated.</w:t>
            </w:r>
          </w:p>
        </w:tc>
      </w:tr>
      <w:tr>
        <w:tc>
          <w:tcPr>
            <w:tcW w:type="dxa" w:w="24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Outcome</w:t>
            </w:r>
          </w:p>
        </w:tc>
        <w:tc>
          <w:tcPr>
            <w:tcW w:type="dxa" w:w="69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Motion carried — Phase 2 Clerkship Information Sheets approved.</w:t>
            </w:r>
          </w:p>
        </w:tc>
      </w:tr>
    </w:tbl>
    <w:p>
      <w:pPr>
        <w:pBdr>
          <w:left w:val="single" w:color="C00000" w:sz="12" w:space="8"/>
        </w:pBdr>
        <w:spacing w:after="120" w:before="100"/>
        <w:ind w:left="360"/>
      </w:pPr>
      <w:r>
        <w:rPr>
          <w:rFonts w:ascii="Calibri" w:cs="Calibri" w:eastAsia="Calibri" w:hAnsi="Calibri"/>
          <w:b/>
          <w:bCs/>
          <w:i/>
          <w:iCs/>
          <w:color w:val="595959"/>
          <w:sz w:val="20"/>
          <w:szCs w:val="20"/>
        </w:rPr>
        <w:t xml:space="preserve">Flag for accreditation traceability: </w:t>
      </w:r>
      <w:r>
        <w:rPr>
          <w:rFonts w:ascii="Calibri" w:cs="Calibri" w:eastAsia="Calibri" w:hAnsi="Calibri"/>
          <w:i/>
          <w:iCs/>
          <w:color w:val="595959"/>
          <w:sz w:val="20"/>
          <w:szCs w:val="20"/>
        </w:rPr>
        <w:t xml:space="preserve">First vote conducted under the new opposition-via-DM procedure. Members are encouraged to email follow-up clarifying questions on the CIS package to the Chair or to Dr. Holzer rather than as objections that would impact the vote. Specific yeas / nays / abstentions tally was not surfaced; reconciliation against the Office of Curricular Affairs voting roll is recommended.</w:t>
      </w:r>
    </w:p>
    <w:p>
      <w:pPr>
        <w:pStyle w:val="Heading3"/>
      </w:pPr>
      <w:r>
        <w:rPr>
          <w:rFonts w:ascii="Calibri" w:cs="Calibri" w:eastAsia="Calibri" w:hAnsi="Calibri"/>
        </w:rPr>
        <w:t xml:space="preserve">Outcome and Next Steps</w:t>
      </w:r>
    </w:p>
    <w:p>
      <w:pPr>
        <w:spacing w:after="120"/>
      </w:pPr>
      <w:r>
        <w:rPr>
          <w:rFonts w:ascii="Calibri" w:cs="Calibri" w:eastAsia="Calibri" w:hAnsi="Calibri"/>
          <w:sz w:val="22"/>
          <w:szCs w:val="22"/>
        </w:rPr>
        <w:t xml:space="preserve">Approved. The Phase 2 CIS package is the LCME-anchor governance document for all Phase 2 clerkships. Implementation begins with Phase 2 launch; class of 2027 follows the legacy CIS for its remaining clerkship work. Members are invited to submit follow-up clarifying questions on the CIS package to the Chair or Dr. Holzer.</w:t>
      </w:r>
    </w:p>
    <w:p>
      <w:pPr>
        <w:pBdr>
          <w:left w:val="single" w:color="2E7D32" w:sz="12" w:space="8"/>
        </w:pBdr>
        <w:spacing w:after="120" w:before="100"/>
        <w:ind w:left="360"/>
      </w:pPr>
      <w:r>
        <w:rPr>
          <w:rFonts w:ascii="Calibri" w:cs="Calibri" w:eastAsia="Calibri" w:hAnsi="Calibri"/>
          <w:b/>
          <w:bCs/>
          <w:i/>
          <w:iCs/>
          <w:color w:val="2E7D32"/>
          <w:sz w:val="20"/>
          <w:szCs w:val="20"/>
        </w:rPr>
        <w:t xml:space="preserve">Closed-loop CQI demonstration: </w:t>
      </w:r>
      <w:r>
        <w:rPr>
          <w:rFonts w:ascii="Calibri" w:cs="Calibri" w:eastAsia="Calibri" w:hAnsi="Calibri"/>
          <w:i/>
          <w:iCs/>
          <w:color w:val="2E7D32"/>
          <w:sz w:val="20"/>
          <w:szCs w:val="20"/>
        </w:rPr>
        <w:t xml:space="preserve">The Phase 2 RCE methodology of internal review combined with external benchmarking against national specialty society recommendations represents a CQI advance over prior practice (where infeasible RCEs were typically removed without lateral consideration of additions). The result is a more comprehensive, defensible, and current Phase 2 RCE set, with annual review built into the standard CCS cycle. The integration of standalone online radiology content into clerkship-specific RCEs reflects student feedback acted upon.</w:t>
      </w:r>
    </w:p>
    <w:p>
      <w:pPr>
        <w:pStyle w:val="Heading2"/>
      </w:pPr>
      <w:r>
        <w:rPr>
          <w:rFonts w:ascii="Calibri" w:cs="Calibri" w:eastAsia="Calibri" w:hAnsi="Calibri"/>
        </w:rPr>
        <w:t xml:space="preserve">6.3  Student Membership in Subcommittees and Working Groups (Announcement)</w:t>
      </w:r>
    </w:p>
    <w:p>
      <w:pPr>
        <w:spacing w:after="120"/>
      </w:pPr>
      <w:r>
        <w:rPr>
          <w:rFonts w:ascii="Calibri" w:cs="Calibri" w:eastAsia="Calibri" w:hAnsi="Calibri"/>
          <w:b/>
          <w:bCs/>
          <w:sz w:val="22"/>
          <w:szCs w:val="22"/>
        </w:rPr>
        <w:t xml:space="preserve">Category: </w:t>
      </w:r>
      <w:r>
        <w:rPr>
          <w:rFonts w:ascii="Calibri" w:cs="Calibri" w:eastAsia="Calibri" w:hAnsi="Calibri"/>
          <w:b/>
          <w:bCs/>
          <w:color w:val="1F3A5F"/>
          <w:sz w:val="22"/>
          <w:szCs w:val="22"/>
        </w:rPr>
        <w:t xml:space="preserve">[FOR INFORMATION]</w:t>
      </w:r>
    </w:p>
    <w:p>
      <w:pPr>
        <w:spacing w:after="120"/>
      </w:pPr>
      <w:r>
        <w:rPr>
          <w:rFonts w:ascii="Calibri" w:cs="Calibri" w:eastAsia="Calibri" w:hAnsi="Calibri"/>
          <w:sz w:val="22"/>
          <w:szCs w:val="22"/>
        </w:rPr>
        <w:t xml:space="preserve">Dr. Soriano announced that, following the revamp of student governance, students will be filling positions in all EEC subcommittees and working groups (as required by LCME, which has long required student representation on the EEC). When EEC members see proposals coming forward, those proposals will have gone through several layers of voices — not only faculty but also medical students. The leaders of the student advisory group, who are also members of the EEC, oversee student governance representation. This will be incorporated as students return from their rotations — including Mr. Alan Zhang upon his return from his dedicated work.</w:t>
      </w:r>
    </w:p>
    <w:p>
      <w:pPr>
        <w:pStyle w:val="Heading1"/>
      </w:pPr>
      <w:r>
        <w:rPr>
          <w:rFonts w:ascii="Calibri" w:cs="Calibri" w:eastAsia="Calibri" w:hAnsi="Calibri"/>
        </w:rPr>
        <w:t xml:space="preserve">7. Summary of Action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700"/>
        <w:gridCol w:w="1500"/>
        <w:gridCol w:w="1900"/>
        <w:gridCol w:w="1560"/>
      </w:tblGrid>
      <w:tr>
        <w:trPr>
          <w:tblHeader/>
        </w:trPr>
        <w:tc>
          <w:tcPr>
            <w:tcW w:type="dxa" w:w="2700"/>
            <w:tcBorders>
              <w:top w:val="single" w:color="B0B0B0" w:sz="4"/>
              <w:left w:val="single" w:color="B0B0B0" w:sz="4"/>
              <w:bottom w:val="single" w:color="B0B0B0" w:sz="4"/>
              <w:right w:val="single" w:color="B0B0B0" w:sz="4"/>
            </w:tcBorders>
            <w:shd w:fill="1F3864" w:val="clear"/>
            <w:tcMar>
              <w:top w:type="dxa" w:w="100"/>
              <w:left w:type="dxa" w:w="140"/>
              <w:bottom w:type="dxa" w:w="100"/>
              <w:right w:type="dxa" w:w="140"/>
            </w:tcMar>
          </w:tcPr>
          <w:p>
            <w:r>
              <w:rPr>
                <w:rFonts w:ascii="Calibri" w:cs="Calibri" w:eastAsia="Calibri" w:hAnsi="Calibri"/>
                <w:b/>
                <w:bCs/>
                <w:color w:val="FFFFFF"/>
                <w:sz w:val="20"/>
                <w:szCs w:val="20"/>
              </w:rPr>
              <w:t xml:space="preserve">Action Item</w:t>
            </w:r>
          </w:p>
        </w:tc>
        <w:tc>
          <w:tcPr>
            <w:tcW w:type="dxa" w:w="1700"/>
            <w:tcBorders>
              <w:top w:val="single" w:color="B0B0B0" w:sz="4"/>
              <w:left w:val="single" w:color="B0B0B0" w:sz="4"/>
              <w:bottom w:val="single" w:color="B0B0B0" w:sz="4"/>
              <w:right w:val="single" w:color="B0B0B0" w:sz="4"/>
            </w:tcBorders>
            <w:shd w:fill="1F3864" w:val="clear"/>
            <w:tcMar>
              <w:top w:type="dxa" w:w="100"/>
              <w:left w:type="dxa" w:w="140"/>
              <w:bottom w:type="dxa" w:w="100"/>
              <w:right w:type="dxa" w:w="140"/>
            </w:tcMar>
          </w:tcPr>
          <w:p>
            <w:r>
              <w:rPr>
                <w:rFonts w:ascii="Calibri" w:cs="Calibri" w:eastAsia="Calibri" w:hAnsi="Calibri"/>
                <w:b/>
                <w:bCs/>
                <w:color w:val="FFFFFF"/>
                <w:sz w:val="20"/>
                <w:szCs w:val="20"/>
              </w:rPr>
              <w:t xml:space="preserve">Responsible Party</w:t>
            </w:r>
          </w:p>
        </w:tc>
        <w:tc>
          <w:tcPr>
            <w:tcW w:type="dxa" w:w="1500"/>
            <w:tcBorders>
              <w:top w:val="single" w:color="B0B0B0" w:sz="4"/>
              <w:left w:val="single" w:color="B0B0B0" w:sz="4"/>
              <w:bottom w:val="single" w:color="B0B0B0" w:sz="4"/>
              <w:right w:val="single" w:color="B0B0B0" w:sz="4"/>
            </w:tcBorders>
            <w:shd w:fill="1F3864" w:val="clear"/>
            <w:tcMar>
              <w:top w:type="dxa" w:w="100"/>
              <w:left w:type="dxa" w:w="140"/>
              <w:bottom w:type="dxa" w:w="100"/>
              <w:right w:type="dxa" w:w="140"/>
            </w:tcMar>
          </w:tcPr>
          <w:p>
            <w:r>
              <w:rPr>
                <w:rFonts w:ascii="Calibri" w:cs="Calibri" w:eastAsia="Calibri" w:hAnsi="Calibri"/>
                <w:b/>
                <w:bCs/>
                <w:color w:val="FFFFFF"/>
                <w:sz w:val="20"/>
                <w:szCs w:val="20"/>
              </w:rPr>
              <w:t xml:space="preserve">Target Completion</w:t>
            </w:r>
          </w:p>
        </w:tc>
        <w:tc>
          <w:tcPr>
            <w:tcW w:type="dxa" w:w="1900"/>
            <w:tcBorders>
              <w:top w:val="single" w:color="B0B0B0" w:sz="4"/>
              <w:left w:val="single" w:color="B0B0B0" w:sz="4"/>
              <w:bottom w:val="single" w:color="B0B0B0" w:sz="4"/>
              <w:right w:val="single" w:color="B0B0B0" w:sz="4"/>
            </w:tcBorders>
            <w:shd w:fill="1F3864" w:val="clear"/>
            <w:tcMar>
              <w:top w:type="dxa" w:w="100"/>
              <w:left w:type="dxa" w:w="140"/>
              <w:bottom w:type="dxa" w:w="100"/>
              <w:right w:type="dxa" w:w="140"/>
            </w:tcMar>
          </w:tcPr>
          <w:p>
            <w:r>
              <w:rPr>
                <w:rFonts w:ascii="Calibri" w:cs="Calibri" w:eastAsia="Calibri" w:hAnsi="Calibri"/>
                <w:b/>
                <w:bCs/>
                <w:color w:val="FFFFFF"/>
                <w:sz w:val="20"/>
                <w:szCs w:val="20"/>
              </w:rPr>
              <w:t xml:space="preserve">EEC Follow-Up Date</w:t>
            </w:r>
          </w:p>
        </w:tc>
        <w:tc>
          <w:tcPr>
            <w:tcW w:type="dxa" w:w="1560"/>
            <w:tcBorders>
              <w:top w:val="single" w:color="B0B0B0" w:sz="4"/>
              <w:left w:val="single" w:color="B0B0B0" w:sz="4"/>
              <w:bottom w:val="single" w:color="B0B0B0" w:sz="4"/>
              <w:right w:val="single" w:color="B0B0B0" w:sz="4"/>
            </w:tcBorders>
            <w:shd w:fill="1F3864" w:val="clear"/>
            <w:tcMar>
              <w:top w:type="dxa" w:w="100"/>
              <w:left w:type="dxa" w:w="140"/>
              <w:bottom w:type="dxa" w:w="100"/>
              <w:right w:type="dxa" w:w="140"/>
            </w:tcMar>
          </w:tcPr>
          <w:p>
            <w:r>
              <w:rPr>
                <w:rFonts w:ascii="Calibri" w:cs="Calibri" w:eastAsia="Calibri" w:hAnsi="Calibri"/>
                <w:b/>
                <w:bCs/>
                <w:color w:val="FFFFFF"/>
                <w:sz w:val="20"/>
                <w:szCs w:val="20"/>
              </w:rPr>
              <w:t xml:space="preserve">LCME Element</w:t>
            </w:r>
          </w:p>
        </w:tc>
      </w:tr>
      <w:tr>
        <w:tc>
          <w:tcPr>
            <w:tcW w:type="dxa" w:w="2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Implement the Phase 2 Clerkship Information Sheets across all clerkships starting with Phase 2 launch (February 2026). Maintain CIS as the LCME governance-anchor for each clerkship; refresh annually through CCS.</w:t>
            </w:r>
          </w:p>
        </w:tc>
        <w:tc>
          <w:tcPr>
            <w:tcW w:type="dxa" w:w="1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T. Holzer, MD; CCS; clerkship directors</w:t>
            </w:r>
          </w:p>
        </w:tc>
        <w:tc>
          <w:tcPr>
            <w:tcW w:type="dxa" w:w="15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Effective February 2026 (Phase 2 launch)</w:t>
            </w:r>
          </w:p>
        </w:tc>
        <w:tc>
          <w:tcPr>
            <w:tcW w:type="dxa" w:w="19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Annual CIS review at the corresponding meeting in academic year 2026–2027.</w:t>
            </w:r>
          </w:p>
        </w:tc>
        <w:tc>
          <w:tcPr>
            <w:tcW w:type="dxa" w:w="15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6.1 / 6.x / 7.x / 8.x / 9.x</w:t>
            </w:r>
          </w:p>
        </w:tc>
      </w:tr>
      <w:tr>
        <w:tc>
          <w:tcPr>
            <w:tcW w:type="dxa" w:w="2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Adopt the new opposition-via-DM voting procedure at all subsequent EEC meetings: motion / second remain required; opposition is registered via private message to the Chair; absence of opposition is voting through. Reflect this procedure in the EEC Handbook (CODA) and on the EEC minutes pages.</w:t>
            </w:r>
          </w:p>
        </w:tc>
        <w:tc>
          <w:tcPr>
            <w:tcW w:type="dxa" w:w="1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M. Francis, MD (Chair); F. Shafiq; S. Anand, MEd</w:t>
            </w:r>
          </w:p>
        </w:tc>
        <w:tc>
          <w:tcPr>
            <w:tcW w:type="dxa" w:w="15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Effective immediately; CODA / Handbook updates within two weeks</w:t>
            </w:r>
          </w:p>
        </w:tc>
        <w:tc>
          <w:tcPr>
            <w:tcW w:type="dxa" w:w="19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Confirmed at the February 20, 2026 EEC meeting.</w:t>
            </w:r>
          </w:p>
        </w:tc>
        <w:tc>
          <w:tcPr>
            <w:tcW w:type="dxa" w:w="15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8.1</w:t>
            </w:r>
          </w:p>
        </w:tc>
      </w:tr>
      <w:tr>
        <w:tc>
          <w:tcPr>
            <w:tcW w:type="dxa" w:w="2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Communicate to clerkship directors that workplace-based DO rubrics should be as objective as possible and that faculty development is essential for cross-site standardization — responsive to Dr. Kim’s clarifying question and Dr. Soriano’s framing on the record.</w:t>
            </w:r>
          </w:p>
        </w:tc>
        <w:tc>
          <w:tcPr>
            <w:tcW w:type="dxa" w:w="1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T. Holzer, MD; clerkship directors</w:t>
            </w:r>
          </w:p>
        </w:tc>
        <w:tc>
          <w:tcPr>
            <w:tcW w:type="dxa" w:w="15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Prior to first cohort experience (late spring 2026)</w:t>
            </w:r>
          </w:p>
        </w:tc>
        <w:tc>
          <w:tcPr>
            <w:tcW w:type="dxa" w:w="19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Mid-cycle review at the May / June 2026 EEC meetings; annual clerkship review thereafter.</w:t>
            </w:r>
          </w:p>
        </w:tc>
        <w:tc>
          <w:tcPr>
            <w:tcW w:type="dxa" w:w="15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8.7 / 9.4 / 9.7</w:t>
            </w:r>
          </w:p>
        </w:tc>
      </w:tr>
      <w:tr>
        <w:tc>
          <w:tcPr>
            <w:tcW w:type="dxa" w:w="2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Class of 2027 students continue with the legacy emergency medicine clerkship and other legacy CIS where applicable; ensure that the Class of 2027 cohort and clerkship directors receive clear written documentation of which CIS applies during the transition period.</w:t>
            </w:r>
          </w:p>
        </w:tc>
        <w:tc>
          <w:tcPr>
            <w:tcW w:type="dxa" w:w="1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T. Holzer, MD; clerkship directors; Office of Curricular Affairs</w:t>
            </w:r>
          </w:p>
        </w:tc>
        <w:tc>
          <w:tcPr>
            <w:tcW w:type="dxa" w:w="15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Ongoing through the Class of 2027 graduation</w:t>
            </w:r>
          </w:p>
        </w:tc>
        <w:tc>
          <w:tcPr>
            <w:tcW w:type="dxa" w:w="19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Quarterly review at EEC meetings; specific tracking through the Office of Curricular Affairs.</w:t>
            </w:r>
          </w:p>
        </w:tc>
        <w:tc>
          <w:tcPr>
            <w:tcW w:type="dxa" w:w="15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8.7</w:t>
            </w:r>
          </w:p>
        </w:tc>
      </w:tr>
      <w:tr>
        <w:tc>
          <w:tcPr>
            <w:tcW w:type="dxa" w:w="2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Operationalize student membership in all EEC subcommittees and working groups, in coordination with the student advisory group leaders who are members of the EEC. Coordinate timing with student return from rotations and dedicated work (including Mr. Alan Zhang).</w:t>
            </w:r>
          </w:p>
        </w:tc>
        <w:tc>
          <w:tcPr>
            <w:tcW w:type="dxa" w:w="1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R. Soriano, MD; A. Zhang; F. Mbaye; subcommittee chairs</w:t>
            </w:r>
          </w:p>
        </w:tc>
        <w:tc>
          <w:tcPr>
            <w:tcW w:type="dxa" w:w="15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Spring 2026; full coverage by start of academic year 2026–2027</w:t>
            </w:r>
          </w:p>
        </w:tc>
        <w:tc>
          <w:tcPr>
            <w:tcW w:type="dxa" w:w="19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Update at the May / June 2026 EEC meetings.</w:t>
            </w:r>
          </w:p>
        </w:tc>
        <w:tc>
          <w:tcPr>
            <w:tcW w:type="dxa" w:w="15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1.x / 8.1</w:t>
            </w:r>
          </w:p>
        </w:tc>
      </w:tr>
      <w:tr>
        <w:tc>
          <w:tcPr>
            <w:tcW w:type="dxa" w:w="2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Confirm member attendance for the February 20, 2026 EEC meeting, which falls during the New York City DOE winter break (President’s Day week). Members planning to be away should notify the Office of Curricular Affairs in advance; if quorum is at risk, reconsider meeting timing.</w:t>
            </w:r>
          </w:p>
        </w:tc>
        <w:tc>
          <w:tcPr>
            <w:tcW w:type="dxa" w:w="1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F. Shafiq; S. Anand, MEd; all EEC members</w:t>
            </w:r>
          </w:p>
        </w:tc>
        <w:tc>
          <w:tcPr>
            <w:tcW w:type="dxa" w:w="15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Prior to February 20, 2026</w:t>
            </w:r>
          </w:p>
        </w:tc>
        <w:tc>
          <w:tcPr>
            <w:tcW w:type="dxa" w:w="19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Confirmed by the start of the February 20, 2026 EEC meeting.</w:t>
            </w:r>
          </w:p>
        </w:tc>
        <w:tc>
          <w:tcPr>
            <w:tcW w:type="dxa" w:w="15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Operational</w:t>
            </w:r>
          </w:p>
        </w:tc>
      </w:tr>
    </w:tbl>
    <w:p>
      <w:r>
        <w:t xml:space="preserve"/>
      </w:r>
    </w:p>
    <w:p>
      <w:pPr>
        <w:pStyle w:val="Heading1"/>
      </w:pPr>
      <w:r>
        <w:rPr>
          <w:rFonts w:ascii="Calibri" w:cs="Calibri" w:eastAsia="Calibri" w:hAnsi="Calibri"/>
        </w:rPr>
        <w:t xml:space="preserve">8. Next Meeting and Adjournment</w:t>
      </w:r>
    </w:p>
    <w:p>
      <w:pPr>
        <w:spacing w:after="120"/>
      </w:pPr>
      <w:r>
        <w:rPr>
          <w:rFonts w:ascii="Calibri" w:cs="Calibri" w:eastAsia="Calibri" w:hAnsi="Calibri"/>
          <w:b/>
          <w:bCs/>
          <w:sz w:val="22"/>
          <w:szCs w:val="22"/>
        </w:rPr>
        <w:t xml:space="preserve">Adjournment: </w:t>
      </w:r>
      <w:r>
        <w:rPr>
          <w:rFonts w:ascii="Calibri" w:cs="Calibri" w:eastAsia="Calibri" w:hAnsi="Calibri"/>
          <w:sz w:val="22"/>
          <w:szCs w:val="22"/>
        </w:rPr>
        <w:t xml:space="preserve">The Chair declared the meeting adjourned at approximately 12:46 p.m. ET, noting that the next regular meeting falls during NYC DOE winter break and asking members to confirm attendance to safeguard quorum.</w:t>
      </w:r>
    </w:p>
    <w:p>
      <w:pPr>
        <w:spacing w:after="120"/>
      </w:pPr>
      <w:r>
        <w:rPr>
          <w:rFonts w:ascii="Calibri" w:cs="Calibri" w:eastAsia="Calibri" w:hAnsi="Calibri"/>
          <w:b/>
          <w:bCs/>
          <w:sz w:val="22"/>
          <w:szCs w:val="22"/>
        </w:rPr>
        <w:t xml:space="preserve">Next Scheduled Meeting: </w:t>
      </w:r>
      <w:r>
        <w:rPr>
          <w:rFonts w:ascii="Calibri" w:cs="Calibri" w:eastAsia="Calibri" w:hAnsi="Calibri"/>
          <w:sz w:val="22"/>
          <w:szCs w:val="22"/>
        </w:rPr>
        <w:t xml:space="preserve">February 20, 2026 (during NYC DOE winter break / President’s Day week).</w:t>
      </w:r>
    </w:p>
    <w:p>
      <w:pPr>
        <w:pStyle w:val="Heading1"/>
      </w:pPr>
      <w:r>
        <w:rPr>
          <w:rFonts w:ascii="Calibri" w:cs="Calibri" w:eastAsia="Calibri" w:hAnsi="Calibri"/>
        </w:rPr>
        <w:t xml:space="preserve">9. Attestation</w:t>
      </w:r>
    </w:p>
    <w:p>
      <w:pPr>
        <w:spacing w:after="120"/>
      </w:pPr>
      <w:r>
        <w:rPr>
          <w:rFonts w:ascii="Calibri" w:cs="Calibri" w:eastAsia="Calibri" w:hAnsi="Calibri"/>
          <w:sz w:val="22"/>
          <w:szCs w:val="22"/>
        </w:rPr>
        <w:t xml:space="preserve">These minutes are submitted as an accurate record of the proceedings of the Educational Executive Committee on February 6, 2026. Minutes are prepared in alignment with LCME Element 8.1 documentation expectations and are subject to formal approval by the EEC at its next regular meeting.</w:t>
      </w:r>
    </w:p>
    <w:p>
      <w:r>
        <w:t xml:space="preserve"/>
      </w:r>
    </w:p>
    <w:p>
      <w:pPr>
        <w:spacing w:after="120"/>
      </w:pPr>
      <w:r>
        <w:rPr>
          <w:rFonts w:ascii="Calibri" w:cs="Calibri" w:eastAsia="Calibri" w:hAnsi="Calibri"/>
          <w:b/>
          <w:bCs/>
          <w:sz w:val="22"/>
          <w:szCs w:val="22"/>
        </w:rPr>
        <w:t xml:space="preserve">Submitted by: </w:t>
      </w:r>
      <w:r>
        <w:rPr>
          <w:rFonts w:ascii="Calibri" w:cs="Calibri" w:eastAsia="Calibri" w:hAnsi="Calibri"/>
          <w:sz w:val="22"/>
          <w:szCs w:val="22"/>
        </w:rPr>
        <w:t xml:space="preserve">________________________________________</w:t>
      </w:r>
    </w:p>
    <w:p>
      <w:pPr>
        <w:spacing w:after="120"/>
        <w:rPr>
          <w:i/>
          <w:iCs/>
          <w:color w:val="555555"/>
          <w:sz w:val="20"/>
          <w:szCs w:val="20"/>
        </w:rPr>
      </w:pPr>
      <w:r>
        <w:rPr>
          <w:rFonts w:ascii="Calibri" w:cs="Calibri" w:eastAsia="Calibri" w:hAnsi="Calibri"/>
          <w:i/>
          <w:iCs/>
          <w:color w:val="555555"/>
          <w:sz w:val="20"/>
          <w:szCs w:val="20"/>
        </w:rPr>
        <w:t xml:space="preserve">Recording Secretary, Educational Executive Committee</w:t>
      </w:r>
    </w:p>
    <w:p>
      <w:r>
        <w:t xml:space="preserve"/>
      </w:r>
    </w:p>
    <w:p>
      <w:pPr>
        <w:spacing w:after="120"/>
      </w:pPr>
      <w:r>
        <w:rPr>
          <w:rFonts w:ascii="Calibri" w:cs="Calibri" w:eastAsia="Calibri" w:hAnsi="Calibri"/>
          <w:b/>
          <w:bCs/>
          <w:sz w:val="22"/>
          <w:szCs w:val="22"/>
        </w:rPr>
        <w:t xml:space="preserve">Approved by: </w:t>
      </w:r>
      <w:r>
        <w:rPr>
          <w:rFonts w:ascii="Calibri" w:cs="Calibri" w:eastAsia="Calibri" w:hAnsi="Calibri"/>
          <w:sz w:val="22"/>
          <w:szCs w:val="22"/>
        </w:rPr>
        <w:t xml:space="preserve">________________________________________</w:t>
      </w:r>
    </w:p>
    <w:p>
      <w:pPr>
        <w:spacing w:after="120"/>
        <w:rPr>
          <w:i/>
          <w:iCs/>
          <w:color w:val="555555"/>
          <w:sz w:val="20"/>
          <w:szCs w:val="20"/>
        </w:rPr>
      </w:pPr>
      <w:r>
        <w:rPr>
          <w:rFonts w:ascii="Calibri" w:cs="Calibri" w:eastAsia="Calibri" w:hAnsi="Calibri"/>
          <w:i/>
          <w:iCs/>
          <w:color w:val="555555"/>
          <w:sz w:val="20"/>
          <w:szCs w:val="20"/>
        </w:rPr>
        <w:t xml:space="preserve">Michelle Francis, MD — Chair, Educational Executive Committee</w:t>
      </w:r>
    </w:p>
    <w:p>
      <w:r>
        <w:t xml:space="preserve"/>
      </w:r>
    </w:p>
    <w:p>
      <w:pPr>
        <w:spacing w:after="120"/>
      </w:pPr>
      <w:r>
        <w:rPr>
          <w:rFonts w:ascii="Calibri" w:cs="Calibri" w:eastAsia="Calibri" w:hAnsi="Calibri"/>
          <w:b/>
          <w:bCs/>
          <w:sz w:val="22"/>
          <w:szCs w:val="22"/>
        </w:rPr>
        <w:t xml:space="preserve">Date of Approval: </w:t>
      </w:r>
      <w:r>
        <w:rPr>
          <w:rFonts w:ascii="Calibri" w:cs="Calibri" w:eastAsia="Calibri" w:hAnsi="Calibri"/>
          <w:sz w:val="22"/>
          <w:szCs w:val="22"/>
        </w:rPr>
        <w:t xml:space="preserve">____________________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8"/>
        <w:szCs w:val="18"/>
      </w:rPr>
      <w:t xml:space="preserve">Page </w:t>
    </w:r>
    <w:r>
      <w:rPr>
        <w:rFonts w:ascii="Calibri" w:cs="Calibri" w:eastAsia="Calibri" w:hAnsi="Calibri"/>
        <w:color w:val="555555"/>
        <w:sz w:val="18"/>
        <w:szCs w:val="18"/>
      </w:rPr>
      <w:fldChar w:fldCharType="begin"/>
      <w:instrText xml:space="preserve">PAGE</w:instrText>
      <w:fldChar w:fldCharType="separate"/>
      <w:fldChar w:fldCharType="end"/>
    </w:r>
    <w:r>
      <w:rPr>
        <w:rFonts w:ascii="Calibri" w:cs="Calibri" w:eastAsia="Calibri" w:hAnsi="Calibri"/>
        <w:color w:val="555555"/>
        <w:sz w:val="18"/>
        <w:szCs w:val="18"/>
      </w:rPr>
      <w:t xml:space="preserve"> of </w:t>
    </w:r>
    <w:r>
      <w:rPr>
        <w:rFonts w:ascii="Calibri" w:cs="Calibri" w:eastAsia="Calibri" w:hAnsi="Calibri"/>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08080" w:sz="4" w:space="4"/>
      </w:pBdr>
      <w:jc w:val="right"/>
    </w:pPr>
    <w:r>
      <w:rPr>
        <w:rFonts w:ascii="Calibri" w:cs="Calibri" w:eastAsia="Calibri" w:hAnsi="Calibri"/>
        <w:i/>
        <w:iCs/>
        <w:color w:val="555555"/>
        <w:sz w:val="18"/>
        <w:szCs w:val="18"/>
      </w:rPr>
      <w:t xml:space="preserve">EEC Meeting Minutes — February 6,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A5F" w:sz="8" w:space="4"/>
      </w:pBdr>
      <w:spacing w:after="160" w:before="320"/>
      <w:outlineLvl w:val="0"/>
    </w:pPr>
    <w:rPr>
      <w:rFonts w:ascii="Calibri" w:cs="Calibri" w:eastAsia="Calibri" w:hAnsi="Calibri"/>
      <w:b/>
      <w:bCs/>
      <w:color w:val="1F3A5F"/>
      <w:sz w:val="28"/>
      <w:szCs w:val="28"/>
    </w:rPr>
  </w:style>
  <w:style w:type="paragraph" w:styleId="Heading2">
    <w:name w:val="Heading 2"/>
    <w:basedOn w:val="Normal"/>
    <w:next w:val="Normal"/>
    <w:qFormat/>
    <w:pPr>
      <w:spacing w:after="120" w:before="240"/>
      <w:outlineLvl w:val="1"/>
    </w:pPr>
    <w:rPr>
      <w:rFonts w:ascii="Calibri" w:cs="Calibri" w:eastAsia="Calibri" w:hAnsi="Calibri"/>
      <w:b/>
      <w:bCs/>
      <w:color w:val="2E5984"/>
      <w:sz w:val="26"/>
      <w:szCs w:val="26"/>
    </w:rPr>
  </w:style>
  <w:style w:type="paragraph" w:styleId="Heading3">
    <w:name w:val="Heading 3"/>
    <w:basedOn w:val="Normal"/>
    <w:next w:val="Normal"/>
    <w:qFormat/>
    <w:pPr>
      <w:spacing w:after="80" w:before="180"/>
      <w:outlineLvl w:val="2"/>
    </w:pPr>
    <w:rPr>
      <w:rFonts w:ascii="Calibri" w:cs="Calibri" w:eastAsia="Calibri" w:hAnsi="Calibri"/>
      <w:b/>
      <w:bCs/>
      <w:i/>
      <w:iCs/>
      <w:color w:val="404040"/>
      <w:sz w:val="23"/>
      <w:szCs w:val="23"/>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customXml" Target="../customXml/item1.xml"/><Relationship Id="rId4" Type="http://schemas.openxmlformats.org/officeDocument/2006/relationships/endnotes" Target="endnotes.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3855B5B86197545A18D1773FC71E1C4" ma:contentTypeVersion="20" ma:contentTypeDescription="Create a new document." ma:contentTypeScope="" ma:versionID="1b26227c08e59efcf67394fdaa55d396">
  <xsd:schema xmlns:xsd="http://www.w3.org/2001/XMLSchema" xmlns:xs="http://www.w3.org/2001/XMLSchema" xmlns:p="http://schemas.microsoft.com/office/2006/metadata/properties" xmlns:ns2="55eb2ba9-3de1-4d48-8b9c-c1d7ac8ff3bc" xmlns:ns3="a359d38c-03c6-459d-a473-f991f5aa9a03" targetNamespace="http://schemas.microsoft.com/office/2006/metadata/properties" ma:root="true" ma:fieldsID="f9fa70aff8846d20c1ab81c35c4d99c7" ns2:_="" ns3:_="">
    <xsd:import namespace="55eb2ba9-3de1-4d48-8b9c-c1d7ac8ff3bc"/>
    <xsd:import namespace="a359d38c-03c6-459d-a473-f991f5aa9a0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lcf76f155ced4ddcb4097134ff3c332f" minOccurs="0"/>
                <xsd:element ref="ns3:TaxCatchAll" minOccurs="0"/>
                <xsd:element ref="ns2:MediaServiceLocation" minOccurs="0"/>
                <xsd:element ref="ns2:LINK"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eb2ba9-3de1-4d48-8b9c-c1d7ac8ff3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f4f72d08-3d4d-4fd0-a57a-1f5ef5c7b471"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LINK" ma:index="24" nillable="true" ma:displayName="LINK" ma:format="Hyperlink" ma:internalName="LINK">
      <xsd:complexType>
        <xsd:complexContent>
          <xsd:extension base="dms:URL">
            <xsd:sequence>
              <xsd:element name="Url" type="dms:ValidUrl" minOccurs="0" nillable="true"/>
              <xsd:element name="Description" type="xsd:string" nillable="true"/>
            </xsd:sequence>
          </xsd:extension>
        </xsd:complexContent>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359d38c-03c6-459d-a473-f991f5aa9a03"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139b27d-eec1-4b7d-91eb-dd17d33048f1}" ma:internalName="TaxCatchAll" ma:showField="CatchAllData" ma:web="a359d38c-03c6-459d-a473-f991f5aa9a0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INK xmlns="55eb2ba9-3de1-4d48-8b9c-c1d7ac8ff3bc">
      <Url xsi:nil="true"/>
      <Description xsi:nil="true"/>
    </LINK>
    <lcf76f155ced4ddcb4097134ff3c332f xmlns="55eb2ba9-3de1-4d48-8b9c-c1d7ac8ff3bc">
      <Terms xmlns="http://schemas.microsoft.com/office/infopath/2007/PartnerControls"/>
    </lcf76f155ced4ddcb4097134ff3c332f>
    <TaxCatchAll xmlns="a359d38c-03c6-459d-a473-f991f5aa9a03" xsi:nil="true"/>
  </documentManagement>
</p:properties>
</file>

<file path=customXml/itemProps1.xml><?xml version="1.0" encoding="utf-8"?>
<ds:datastoreItem xmlns:ds="http://schemas.openxmlformats.org/officeDocument/2006/customXml" ds:itemID="{43848267-E96E-4715-85FA-BA4E9995CFDE}"/>
</file>

<file path=customXml/itemProps2.xml><?xml version="1.0" encoding="utf-8"?>
<ds:datastoreItem xmlns:ds="http://schemas.openxmlformats.org/officeDocument/2006/customXml" ds:itemID="{315327D8-B6A3-4416-8021-AF0F6E8440F1}"/>
</file>

<file path=customXml/itemProps3.xml><?xml version="1.0" encoding="utf-8"?>
<ds:datastoreItem xmlns:ds="http://schemas.openxmlformats.org/officeDocument/2006/customXml" ds:itemID="{C7D9D35C-031C-4A95-8E78-CF8E0BE98FC5}"/>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EEC Minutes — February 6, 2026</dc:title>
  <dc:creator>Educational Executive Committee</dc:creator>
  <cp:lastModifiedBy>Un-named</cp:lastModifiedBy>
  <cp:revision>1</cp:revision>
  <dcterms:created xsi:type="dcterms:W3CDTF">2026-05-09T08:15:24Z</dcterms:created>
  <dcterms:modified xsi:type="dcterms:W3CDTF">2026-05-09T08:15:24Z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0x010100A3855B5B86197545A18D1773FC71E1C4</vt:lpwstr>
  </property>
</Properties>
</file>