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color w:val="1F3A5F"/>
          <w:sz w:val="32"/>
          <w:szCs w:val="32"/>
        </w:rPr>
        <w:t xml:space="preserve">EDUCATIONAL EXECUTIVE COMMITTEE (EEC)</w:t>
      </w:r>
    </w:p>
    <w:p>
      <w:pPr>
        <w:spacing w:after="80"/>
        <w:jc w:val="center"/>
      </w:pPr>
      <w:r>
        <w:rPr>
          <w:rFonts w:ascii="Calibri" w:cs="Calibri" w:eastAsia="Calibri" w:hAnsi="Calibri"/>
          <w:b/>
          <w:bCs/>
          <w:color w:val="1F3A5F"/>
          <w:sz w:val="32"/>
          <w:szCs w:val="32"/>
        </w:rPr>
        <w:t xml:space="preserve">MEETING MINUTES</w:t>
      </w:r>
    </w:p>
    <w:p>
      <w:pPr>
        <w:spacing w:after="280"/>
        <w:jc w:val="center"/>
      </w:pPr>
      <w:r>
        <w:rPr>
          <w:rFonts w:ascii="Calibri" w:cs="Calibri" w:eastAsia="Calibri" w:hAnsi="Calibri"/>
          <w:i/>
          <w:iCs/>
          <w:color w:val="555555"/>
          <w:sz w:val="24"/>
          <w:szCs w:val="24"/>
        </w:rPr>
        <w:t xml:space="preserve">Icahn School of Medicine at Mount Sinai  |  March 6,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Committee</w:t>
            </w:r>
          </w:p>
        </w:tc>
        <w:tc>
          <w:tcPr>
            <w:tcW w:type="dxa" w:w="67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Educational Executive Committee (EEC)</w:t>
            </w:r>
          </w:p>
        </w:tc>
      </w:tr>
      <w:tr>
        <w:tc>
          <w:tcPr>
            <w:tcW w:type="dxa" w:w="26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Meeting Type</w:t>
            </w:r>
          </w:p>
        </w:tc>
        <w:tc>
          <w:tcPr>
            <w:tcW w:type="dxa" w:w="67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Regular Scheduled Meeting</w:t>
            </w:r>
          </w:p>
        </w:tc>
      </w:tr>
      <w:tr>
        <w:tc>
          <w:tcPr>
            <w:tcW w:type="dxa" w:w="26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Date</w:t>
            </w:r>
          </w:p>
        </w:tc>
        <w:tc>
          <w:tcPr>
            <w:tcW w:type="dxa" w:w="67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March 6, 2026 (Friday)</w:t>
            </w:r>
          </w:p>
        </w:tc>
      </w:tr>
      <w:tr>
        <w:tc>
          <w:tcPr>
            <w:tcW w:type="dxa" w:w="26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Time</w:t>
            </w:r>
          </w:p>
        </w:tc>
        <w:tc>
          <w:tcPr>
            <w:tcW w:type="dxa" w:w="67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Approximately 12:00 p.m. – 12:50 p.m. ET</w:t>
            </w:r>
          </w:p>
        </w:tc>
      </w:tr>
      <w:tr>
        <w:tc>
          <w:tcPr>
            <w:tcW w:type="dxa" w:w="26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Modality</w:t>
            </w:r>
          </w:p>
        </w:tc>
        <w:tc>
          <w:tcPr>
            <w:tcW w:type="dxa" w:w="67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Zoom (virtual)</w:t>
            </w:r>
          </w:p>
        </w:tc>
      </w:tr>
      <w:tr>
        <w:tc>
          <w:tcPr>
            <w:tcW w:type="dxa" w:w="26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Presiding Officer</w:t>
            </w:r>
          </w:p>
        </w:tc>
        <w:tc>
          <w:tcPr>
            <w:tcW w:type="dxa" w:w="67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Michelle Francis, MD — Chair, Educational Executive Committee</w:t>
            </w:r>
          </w:p>
        </w:tc>
      </w:tr>
      <w:tr>
        <w:tc>
          <w:tcPr>
            <w:tcW w:type="dxa" w:w="26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Recording Secretary</w:t>
            </w:r>
          </w:p>
        </w:tc>
        <w:tc>
          <w:tcPr>
            <w:tcW w:type="dxa" w:w="67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Fatima Shafiq, Project Manager, Curricular Affairs</w:t>
            </w:r>
          </w:p>
        </w:tc>
      </w:tr>
      <w:tr>
        <w:tc>
          <w:tcPr>
            <w:tcW w:type="dxa" w:w="26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Quorum</w:t>
            </w:r>
          </w:p>
        </w:tc>
        <w:tc>
          <w:tcPr>
            <w:tcW w:type="dxa" w:w="67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Confirmed at call to order — see Section 2.</w:t>
            </w:r>
          </w:p>
        </w:tc>
      </w:tr>
      <w:tr>
        <w:tc>
          <w:tcPr>
            <w:tcW w:type="dxa" w:w="26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Recording</w:t>
            </w:r>
          </w:p>
        </w:tc>
        <w:tc>
          <w:tcPr>
            <w:tcW w:type="dxa" w:w="67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Zoom transcript on file; reference source for these minutes</w:t>
            </w:r>
          </w:p>
        </w:tc>
      </w:tr>
      <w:tr>
        <w:tc>
          <w:tcPr>
            <w:tcW w:type="dxa" w:w="26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Schedule Note</w:t>
            </w:r>
          </w:p>
        </w:tc>
        <w:tc>
          <w:tcPr>
            <w:tcW w:type="dxa" w:w="67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The next regularly scheduled EEC meeting (March 20, 2026) is canceled because of Match Day. The next EEC meeting will be April 3, 2026.</w:t>
            </w:r>
          </w:p>
        </w:tc>
      </w:tr>
    </w:tbl>
    <w:p>
      <w:r>
        <w:t xml:space="preserve"/>
      </w:r>
    </w:p>
    <w:p>
      <w:pPr>
        <w:pStyle w:val="Heading1"/>
      </w:pPr>
      <w:r>
        <w:rPr>
          <w:rFonts w:ascii="Calibri" w:cs="Calibri" w:eastAsia="Calibri" w:hAnsi="Calibri"/>
        </w:rPr>
        <w:t xml:space="preserve">1. Attendance</w:t>
      </w:r>
    </w:p>
    <w:p>
      <w:pPr>
        <w:spacing w:after="120"/>
      </w:pPr>
      <w:r>
        <w:rPr>
          <w:rFonts w:ascii="Calibri" w:cs="Calibri" w:eastAsia="Calibri" w:hAnsi="Calibri"/>
          <w:sz w:val="22"/>
          <w:szCs w:val="22"/>
        </w:rPr>
        <w:t xml:space="preserve">Attendance reported in alignment with LCME Element 8.1. Voting status reflects the EEC roster effective 7/11/2025.</w:t>
      </w:r>
    </w:p>
    <w:p>
      <w:pPr>
        <w:pStyle w:val="Heading2"/>
      </w:pPr>
      <w:r>
        <w:rPr>
          <w:rFonts w:ascii="Calibri" w:cs="Calibri" w:eastAsia="Calibri" w:hAnsi="Calibri"/>
        </w:rPr>
        <w:t xml:space="preserve">Voting Members Present</w:t>
      </w:r>
    </w:p>
    <w:p>
      <w:pPr>
        <w:pStyle w:val="ListParagraph"/>
        <w:numPr>
          <w:ilvl w:val="0"/>
          <w:numId w:val="2"/>
        </w:numPr>
        <w:spacing w:after="60"/>
      </w:pPr>
      <w:r>
        <w:rPr>
          <w:rFonts w:ascii="Calibri" w:cs="Calibri" w:eastAsia="Calibri" w:hAnsi="Calibri"/>
          <w:sz w:val="22"/>
          <w:szCs w:val="22"/>
        </w:rPr>
        <w:t xml:space="preserve">Michelle Francis, MD — Chair (presiding)</w:t>
      </w:r>
    </w:p>
    <w:p>
      <w:pPr>
        <w:pStyle w:val="ListParagraph"/>
        <w:numPr>
          <w:ilvl w:val="0"/>
          <w:numId w:val="2"/>
        </w:numPr>
        <w:spacing w:after="60"/>
      </w:pPr>
      <w:r>
        <w:rPr>
          <w:rFonts w:ascii="Calibri" w:cs="Calibri" w:eastAsia="Calibri" w:hAnsi="Calibri"/>
          <w:sz w:val="22"/>
          <w:szCs w:val="22"/>
        </w:rPr>
        <w:t xml:space="preserve">Tonia Kim, MD — Faculty Curricular Leader (Pre-Clerkship); Renal module director (abstained from Item 6.2 vote)</w:t>
      </w:r>
    </w:p>
    <w:p>
      <w:pPr>
        <w:pStyle w:val="ListParagraph"/>
        <w:numPr>
          <w:ilvl w:val="0"/>
          <w:numId w:val="2"/>
        </w:numPr>
        <w:spacing w:after="60"/>
      </w:pPr>
      <w:r>
        <w:rPr>
          <w:rFonts w:ascii="Calibri" w:cs="Calibri" w:eastAsia="Calibri" w:hAnsi="Calibri"/>
          <w:sz w:val="22"/>
          <w:szCs w:val="22"/>
        </w:rPr>
        <w:t xml:space="preserve">Arvind Kamthan, MD — Faculty Educator at Large</w:t>
      </w:r>
    </w:p>
    <w:p>
      <w:pPr>
        <w:pStyle w:val="ListParagraph"/>
        <w:numPr>
          <w:ilvl w:val="0"/>
          <w:numId w:val="2"/>
        </w:numPr>
        <w:spacing w:after="60"/>
      </w:pPr>
      <w:r>
        <w:rPr>
          <w:rFonts w:ascii="Calibri" w:cs="Calibri" w:eastAsia="Calibri" w:hAnsi="Calibri"/>
          <w:sz w:val="22"/>
          <w:szCs w:val="22"/>
        </w:rPr>
        <w:t xml:space="preserve">Sreekala Raghavan, MD — Faculty Educator at Large</w:t>
      </w:r>
    </w:p>
    <w:p>
      <w:pPr>
        <w:pStyle w:val="ListParagraph"/>
        <w:numPr>
          <w:ilvl w:val="0"/>
          <w:numId w:val="2"/>
        </w:numPr>
        <w:spacing w:after="60"/>
      </w:pPr>
      <w:r>
        <w:rPr>
          <w:rFonts w:ascii="Calibri" w:cs="Calibri" w:eastAsia="Calibri" w:hAnsi="Calibri"/>
          <w:sz w:val="22"/>
          <w:szCs w:val="22"/>
        </w:rPr>
        <w:t xml:space="preserve">Richard Stern, MD — Specialty Advisor</w:t>
      </w:r>
    </w:p>
    <w:p>
      <w:pPr>
        <w:pStyle w:val="ListParagraph"/>
        <w:numPr>
          <w:ilvl w:val="0"/>
          <w:numId w:val="2"/>
        </w:numPr>
        <w:spacing w:after="60"/>
      </w:pPr>
      <w:r>
        <w:rPr>
          <w:rFonts w:ascii="Calibri" w:cs="Calibri" w:eastAsia="Calibri" w:hAnsi="Calibri"/>
          <w:sz w:val="22"/>
          <w:szCs w:val="22"/>
        </w:rPr>
        <w:t xml:space="preserve">Vannita Simma-Chiang, MD — Specialty Advisor (introduced as a relatively new member; further formal introduction at next meeting)</w:t>
      </w:r>
    </w:p>
    <w:p>
      <w:pPr>
        <w:pStyle w:val="ListParagraph"/>
        <w:numPr>
          <w:ilvl w:val="0"/>
          <w:numId w:val="2"/>
        </w:numPr>
        <w:spacing w:after="60"/>
      </w:pPr>
      <w:r>
        <w:rPr>
          <w:rFonts w:ascii="Calibri" w:cs="Calibri" w:eastAsia="Calibri" w:hAnsi="Calibri"/>
          <w:sz w:val="22"/>
          <w:szCs w:val="22"/>
        </w:rPr>
        <w:t xml:space="preserve">Alan Zhang — Student Representative, M2 (joined the meeting in progress; recently started clinical neurology rotation)</w:t>
      </w:r>
    </w:p>
    <w:p>
      <w:pPr>
        <w:pStyle w:val="ListParagraph"/>
        <w:numPr>
          <w:ilvl w:val="0"/>
          <w:numId w:val="2"/>
        </w:numPr>
        <w:spacing w:after="60"/>
      </w:pPr>
      <w:r>
        <w:rPr>
          <w:rFonts w:ascii="Calibri" w:cs="Calibri" w:eastAsia="Calibri" w:hAnsi="Calibri"/>
          <w:sz w:val="22"/>
          <w:szCs w:val="22"/>
        </w:rPr>
        <w:t xml:space="preserve">Jamie Frost — Student Representative, M3</w:t>
      </w:r>
    </w:p>
    <w:p>
      <w:pPr>
        <w:spacing w:after="120"/>
        <w:rPr>
          <w:i/>
          <w:iCs/>
          <w:sz w:val="20"/>
          <w:szCs w:val="20"/>
        </w:rPr>
      </w:pPr>
      <w:r>
        <w:rPr>
          <w:rFonts w:ascii="Calibri" w:cs="Calibri" w:eastAsia="Calibri" w:hAnsi="Calibri"/>
          <w:i/>
          <w:iCs/>
          <w:sz w:val="20"/>
          <w:szCs w:val="20"/>
        </w:rPr>
        <w:t xml:space="preserve">Ms. Shafiq confirmed quorum at call to order. Specific identification of all voting members beyond those who spoke on the record could not be reconstructed from the transcript alone.</w:t>
      </w:r>
    </w:p>
    <w:p>
      <w:pPr>
        <w:pStyle w:val="Heading2"/>
      </w:pPr>
      <w:r>
        <w:rPr>
          <w:rFonts w:ascii="Calibri" w:cs="Calibri" w:eastAsia="Calibri" w:hAnsi="Calibri"/>
        </w:rPr>
        <w:t xml:space="preserve">Ex Officio Members Present (Non-Voting)</w:t>
      </w:r>
    </w:p>
    <w:p>
      <w:pPr>
        <w:pStyle w:val="ListParagraph"/>
        <w:numPr>
          <w:ilvl w:val="0"/>
          <w:numId w:val="2"/>
        </w:numPr>
        <w:spacing w:after="60"/>
      </w:pPr>
      <w:r>
        <w:rPr>
          <w:rFonts w:ascii="Calibri" w:cs="Calibri" w:eastAsia="Calibri" w:hAnsi="Calibri"/>
          <w:sz w:val="22"/>
          <w:szCs w:val="22"/>
        </w:rPr>
        <w:t xml:space="preserve">Shashi Anand, MEd — Administrative Lead, Office of Curricular Affairs</w:t>
      </w:r>
    </w:p>
    <w:p>
      <w:pPr>
        <w:pStyle w:val="ListParagraph"/>
        <w:numPr>
          <w:ilvl w:val="0"/>
          <w:numId w:val="2"/>
        </w:numPr>
        <w:spacing w:after="60"/>
      </w:pPr>
      <w:r>
        <w:rPr>
          <w:rFonts w:ascii="Calibri" w:cs="Calibri" w:eastAsia="Calibri" w:hAnsi="Calibri"/>
          <w:sz w:val="22"/>
          <w:szCs w:val="22"/>
        </w:rPr>
        <w:t xml:space="preserve">Valerie Parkas, MD — Senior Associate Dean for Admissions (lead presenter, Item 6.4)</w:t>
      </w:r>
    </w:p>
    <w:p>
      <w:pPr>
        <w:pStyle w:val="ListParagraph"/>
        <w:numPr>
          <w:ilvl w:val="0"/>
          <w:numId w:val="2"/>
        </w:numPr>
        <w:spacing w:after="60"/>
      </w:pPr>
      <w:r>
        <w:rPr>
          <w:rFonts w:ascii="Calibri" w:cs="Calibri" w:eastAsia="Calibri" w:hAnsi="Calibri"/>
          <w:sz w:val="22"/>
          <w:szCs w:val="22"/>
        </w:rPr>
        <w:t xml:space="preserve">Staci Leisman, MD — PCCS Chair (lead presenter, Item 6.2)</w:t>
      </w:r>
    </w:p>
    <w:p>
      <w:pPr>
        <w:pStyle w:val="Heading2"/>
      </w:pPr>
      <w:r>
        <w:rPr>
          <w:rFonts w:ascii="Calibri" w:cs="Calibri" w:eastAsia="Calibri" w:hAnsi="Calibri"/>
        </w:rPr>
        <w:t xml:space="preserve">Guest Presenters</w:t>
      </w:r>
    </w:p>
    <w:p>
      <w:pPr>
        <w:pStyle w:val="ListParagraph"/>
        <w:numPr>
          <w:ilvl w:val="0"/>
          <w:numId w:val="2"/>
        </w:numPr>
        <w:spacing w:after="60"/>
      </w:pPr>
      <w:r>
        <w:rPr>
          <w:rFonts w:ascii="Calibri" w:cs="Calibri" w:eastAsia="Calibri" w:hAnsi="Calibri"/>
          <w:sz w:val="22"/>
          <w:szCs w:val="22"/>
        </w:rPr>
        <w:t xml:space="preserve">Kris Alpi — Associate Dean of Libraries and Information Sciences, Levy Library, Mount Sinai (co-presenting Item 6.3)</w:t>
      </w:r>
    </w:p>
    <w:p>
      <w:pPr>
        <w:pStyle w:val="ListParagraph"/>
        <w:numPr>
          <w:ilvl w:val="0"/>
          <w:numId w:val="2"/>
        </w:numPr>
        <w:spacing w:after="60"/>
      </w:pPr>
      <w:r>
        <w:rPr>
          <w:rFonts w:ascii="Calibri" w:cs="Calibri" w:eastAsia="Calibri" w:hAnsi="Calibri"/>
          <w:sz w:val="22"/>
          <w:szCs w:val="22"/>
        </w:rPr>
        <w:t xml:space="preserve">Joe Spadaro — Executive IT Director for Scholarly Technologies (co-presenting Item 6.3)</w:t>
      </w:r>
    </w:p>
    <w:p>
      <w:pPr>
        <w:pStyle w:val="Heading2"/>
      </w:pPr>
      <w:r>
        <w:rPr>
          <w:rFonts w:ascii="Calibri" w:cs="Calibri" w:eastAsia="Calibri" w:hAnsi="Calibri"/>
        </w:rPr>
        <w:t xml:space="preserve">Staff</w:t>
      </w:r>
    </w:p>
    <w:p>
      <w:pPr>
        <w:pStyle w:val="ListParagraph"/>
        <w:numPr>
          <w:ilvl w:val="0"/>
          <w:numId w:val="2"/>
        </w:numPr>
        <w:spacing w:after="60"/>
      </w:pPr>
      <w:r>
        <w:rPr>
          <w:rFonts w:ascii="Calibri" w:cs="Calibri" w:eastAsia="Calibri" w:hAnsi="Calibri"/>
          <w:sz w:val="22"/>
          <w:szCs w:val="22"/>
        </w:rPr>
        <w:t xml:space="preserve">Fatima Shafiq — Project Manager, Curricular Affairs (recording secretary; presented slides for Item 6.2)</w:t>
      </w:r>
    </w:p>
    <w:p>
      <w:pPr>
        <w:pBdr>
          <w:left w:val="single" w:color="C00000" w:sz="12" w:space="8"/>
        </w:pBdr>
        <w:spacing w:after="120" w:before="100"/>
        <w:ind w:left="360"/>
      </w:pPr>
      <w:r>
        <w:rPr>
          <w:rFonts w:ascii="Calibri" w:cs="Calibri" w:eastAsia="Calibri" w:hAnsi="Calibri"/>
          <w:b/>
          <w:bCs/>
          <w:i/>
          <w:iCs/>
          <w:color w:val="595959"/>
          <w:sz w:val="20"/>
          <w:szCs w:val="20"/>
        </w:rPr>
        <w:t xml:space="preserve">Flag for accreditation traceability: </w:t>
      </w:r>
      <w:r>
        <w:rPr>
          <w:rFonts w:ascii="Calibri" w:cs="Calibri" w:eastAsia="Calibri" w:hAnsi="Calibri"/>
          <w:i/>
          <w:iCs/>
          <w:color w:val="595959"/>
          <w:sz w:val="20"/>
          <w:szCs w:val="20"/>
        </w:rPr>
        <w:t xml:space="preserve">The transcript identifies named speakers but does not establish the full roll of voting members present at call to order. Reconciliation against the Office of Curricular Affairs sign-in record is recommended for the formal record. Dr. Vannita Simma-Chiang, named in the EEC roster effective 7/11/2025 as Specialty Advisor, was visibly introduced at this meeting; the Chair noted a more formal introduction is scheduled for the next EEC meeting.</w:t>
      </w:r>
    </w:p>
    <w:p>
      <w:pPr>
        <w:pStyle w:val="Heading1"/>
      </w:pPr>
      <w:r>
        <w:rPr>
          <w:rFonts w:ascii="Calibri" w:cs="Calibri" w:eastAsia="Calibri" w:hAnsi="Calibri"/>
        </w:rPr>
        <w:t xml:space="preserve">2. Call to Order, Quorum, and Approval of Agenda</w:t>
      </w:r>
    </w:p>
    <w:p>
      <w:pPr>
        <w:pStyle w:val="Heading2"/>
      </w:pPr>
      <w:r>
        <w:rPr>
          <w:rFonts w:ascii="Calibri" w:cs="Calibri" w:eastAsia="Calibri" w:hAnsi="Calibri"/>
        </w:rPr>
        <w:t xml:space="preserve">Call to Order</w:t>
      </w:r>
    </w:p>
    <w:p>
      <w:pPr>
        <w:spacing w:after="120"/>
      </w:pPr>
      <w:r>
        <w:rPr>
          <w:rFonts w:ascii="Calibri" w:cs="Calibri" w:eastAsia="Calibri" w:hAnsi="Calibri"/>
          <w:sz w:val="22"/>
          <w:szCs w:val="22"/>
        </w:rPr>
        <w:t xml:space="preserve">The meeting was called to order by Dr. Michelle Francis, Chair, at approximately 12:02 p.m. ET, once Ms. Shafiq confirmed quorum.</w:t>
      </w:r>
    </w:p>
    <w:p>
      <w:pPr>
        <w:pStyle w:val="Heading2"/>
      </w:pPr>
      <w:r>
        <w:rPr>
          <w:rFonts w:ascii="Calibri" w:cs="Calibri" w:eastAsia="Calibri" w:hAnsi="Calibri"/>
        </w:rPr>
        <w:t xml:space="preserve">Quorum Determination</w:t>
      </w:r>
    </w:p>
    <w:p>
      <w:pPr>
        <w:spacing w:after="120"/>
      </w:pPr>
      <w:r>
        <w:rPr>
          <w:rFonts w:ascii="Calibri" w:cs="Calibri" w:eastAsia="Calibri" w:hAnsi="Calibri"/>
          <w:sz w:val="22"/>
          <w:szCs w:val="22"/>
        </w:rPr>
        <w:t xml:space="preserve">Quorum was confirmed by Ms. Shafiq. The quorum threshold is eight (8) voting members. The Chair specifically asked Mr. Jamie Frost about other student representatives joining; Mr. Zhang joined in progress shortly after his clinical neurology rotation start.</w:t>
      </w:r>
    </w:p>
    <w:p>
      <w:pPr>
        <w:pStyle w:val="Heading2"/>
      </w:pPr>
      <w:r>
        <w:rPr>
          <w:rFonts w:ascii="Calibri" w:cs="Calibri" w:eastAsia="Calibri" w:hAnsi="Calibri"/>
        </w:rPr>
        <w:t xml:space="preserve">Approval of Agenda</w:t>
      </w:r>
    </w:p>
    <w:p>
      <w:pPr>
        <w:spacing w:after="120"/>
      </w:pPr>
      <w:r>
        <w:rPr>
          <w:rFonts w:ascii="Calibri" w:cs="Calibri" w:eastAsia="Calibri" w:hAnsi="Calibri"/>
          <w:sz w:val="22"/>
          <w:szCs w:val="22"/>
        </w:rPr>
        <w:t xml:space="preserve">The agenda comprised four items: approval of the February 20, 2026 minutes; vote on the Renal Module review and action plan; informational presentation on IT infrastructure / educational technology / library access on clerkships; informational update on pre-medical admissions requirements.</w:t>
      </w:r>
    </w:p>
    <w:p>
      <w:pPr>
        <w:pStyle w:val="Heading2"/>
      </w:pPr>
      <w:r>
        <w:rPr>
          <w:rFonts w:ascii="Calibri" w:cs="Calibri" w:eastAsia="Calibri" w:hAnsi="Calibri"/>
        </w:rPr>
        <w:t xml:space="preserve">Approval of Prior Meeting Minutes</w:t>
      </w:r>
    </w:p>
    <w:p>
      <w:pPr>
        <w:spacing w:after="120"/>
      </w:pPr>
      <w:r>
        <w:rPr>
          <w:rFonts w:ascii="Calibri" w:cs="Calibri" w:eastAsia="Calibri" w:hAnsi="Calibri"/>
          <w:sz w:val="22"/>
          <w:szCs w:val="22"/>
        </w:rPr>
        <w:t xml:space="preserve">The Chair presented the minutes from the February 20, 2026 EEC meeting for approval, inviting revisions or comments. None were raised.</w:t>
      </w:r>
    </w:p>
    <w:p>
      <w:pPr>
        <w:spacing w:after="120"/>
      </w:pPr>
      <w:r>
        <w:rPr>
          <w:rFonts w:ascii="Calibri" w:cs="Calibri" w:eastAsia="Calibri" w:hAnsi="Calibri"/>
          <w:sz w:val="22"/>
          <w:szCs w:val="22"/>
        </w:rPr>
        <w:t xml:space="preserve">Outcome: Minutes from the February 20, 2026 EEC meeting were approved by unanimous consent.</w:t>
      </w:r>
    </w:p>
    <w:p>
      <w:pPr>
        <w:pStyle w:val="Heading1"/>
      </w:pPr>
      <w:r>
        <w:rPr>
          <w:rFonts w:ascii="Calibri" w:cs="Calibri" w:eastAsia="Calibri" w:hAnsi="Calibri"/>
        </w:rPr>
        <w:t xml:space="preserve">3. Subcommittee Reports</w:t>
      </w:r>
    </w:p>
    <w:p>
      <w:pPr>
        <w:spacing w:after="120"/>
      </w:pPr>
      <w:r>
        <w:rPr>
          <w:rFonts w:ascii="Calibri" w:cs="Calibri" w:eastAsia="Calibri" w:hAnsi="Calibri"/>
          <w:sz w:val="22"/>
          <w:szCs w:val="22"/>
        </w:rPr>
        <w:t xml:space="preserve">Item 6.2 below reflects PCCS work led by Dr. Staci Leisman with Dr. Tonia Kim as the module director. Items 6.3 and 6.4 are informational items reflecting work coordinated through the Library / IT and through the Admissions Committee, respectively.</w:t>
      </w:r>
    </w:p>
    <w:p>
      <w:pPr>
        <w:pStyle w:val="Heading1"/>
      </w:pPr>
      <w:r>
        <w:rPr>
          <w:rFonts w:ascii="Calibri" w:cs="Calibri" w:eastAsia="Calibri" w:hAnsi="Calibri"/>
        </w:rPr>
        <w:t xml:space="preserve">4. New Business</w:t>
      </w:r>
    </w:p>
    <w:p>
      <w:pPr>
        <w:spacing w:after="120"/>
      </w:pPr>
      <w:r>
        <w:rPr>
          <w:rFonts w:ascii="Calibri" w:cs="Calibri" w:eastAsia="Calibri" w:hAnsi="Calibri"/>
          <w:sz w:val="22"/>
          <w:szCs w:val="22"/>
        </w:rPr>
        <w:t xml:space="preserve">No items beyond the scheduled agenda were brought forward. The Chair attempted to introduce Dr. Vannita Simma-Chiang, who joined visibly during the meeting; a more formal introduction is scheduled for the next regular EEC meeting (April 3, 2026).</w:t>
      </w:r>
    </w:p>
    <w:p>
      <w:pPr>
        <w:pStyle w:val="Heading1"/>
      </w:pPr>
      <w:r>
        <w:rPr>
          <w:rFonts w:ascii="Calibri" w:cs="Calibri" w:eastAsia="Calibri" w:hAnsi="Calibri"/>
        </w:rPr>
        <w:t xml:space="preserve">5. Review of Prior Action Items</w:t>
      </w:r>
    </w:p>
    <w:p>
      <w:pPr>
        <w:spacing w:after="120"/>
      </w:pPr>
      <w:r>
        <w:rPr>
          <w:rFonts w:ascii="Calibri" w:cs="Calibri" w:eastAsia="Calibri" w:hAnsi="Calibri"/>
          <w:sz w:val="22"/>
          <w:szCs w:val="22"/>
        </w:rPr>
        <w:t xml:space="preserve">This meeting continues the EEC closed-loop CQI process for Phase 1 modules under the standard 12-month annual review cycle through PCCS. The Renal module is the second-to-last module of Phase 1 in the current schedule; the action plan moves it forward in the schedule beginning in academic year 2026–2027 (see Item 6.2). The IT / educational technology / library access presentation prepares the EEC for upcoming LCME documentation expectations on these elements.</w:t>
      </w:r>
    </w:p>
    <w:p>
      <w:pPr>
        <w:pStyle w:val="Heading1"/>
      </w:pPr>
      <w:r>
        <w:rPr>
          <w:rFonts w:ascii="Calibri" w:cs="Calibri" w:eastAsia="Calibri" w:hAnsi="Calibri"/>
        </w:rPr>
        <w:t xml:space="preserve">6. Agenda Items — Review, Discussion, and Voting</w:t>
      </w:r>
    </w:p>
    <w:p>
      <w:pPr>
        <w:pStyle w:val="Heading2"/>
      </w:pPr>
      <w:r>
        <w:rPr>
          <w:rFonts w:ascii="Calibri" w:cs="Calibri" w:eastAsia="Calibri" w:hAnsi="Calibri"/>
        </w:rPr>
        <w:t xml:space="preserve">6.1  Approval of Minutes — February 20, 2026 EEC Meeting</w:t>
      </w:r>
    </w:p>
    <w:p>
      <w:pPr>
        <w:spacing w:after="120"/>
      </w:pPr>
      <w:r>
        <w:rPr>
          <w:rFonts w:ascii="Calibri" w:cs="Calibri" w:eastAsia="Calibri" w:hAnsi="Calibri"/>
          <w:b/>
          <w:bCs/>
          <w:sz w:val="22"/>
          <w:szCs w:val="22"/>
        </w:rPr>
        <w:t xml:space="preserve">Category: </w:t>
      </w:r>
      <w:r>
        <w:rPr>
          <w:rFonts w:ascii="Calibri" w:cs="Calibri" w:eastAsia="Calibri" w:hAnsi="Calibri"/>
          <w:b/>
          <w:bCs/>
          <w:color w:val="1F3A5F"/>
          <w:sz w:val="22"/>
          <w:szCs w:val="22"/>
        </w:rPr>
        <w:t xml:space="preserve">[VOTING ITEM] </w:t>
      </w:r>
      <w:r>
        <w:rPr>
          <w:rFonts w:ascii="Calibri" w:cs="Calibri" w:eastAsia="Calibri" w:hAnsi="Calibri"/>
          <w:i/>
          <w:iCs/>
          <w:sz w:val="22"/>
          <w:szCs w:val="22"/>
        </w:rPr>
        <w:t xml:space="preserve">(See Section 2 above; minutes approved by unanimous consent.)</w:t>
      </w:r>
    </w:p>
    <w:p>
      <w:pPr>
        <w:pStyle w:val="Heading2"/>
      </w:pPr>
      <w:r>
        <w:rPr>
          <w:rFonts w:ascii="Calibri" w:cs="Calibri" w:eastAsia="Calibri" w:hAnsi="Calibri"/>
        </w:rPr>
        <w:t xml:space="preserve">6.2  Module Review — Renal</w:t>
      </w:r>
    </w:p>
    <w:p>
      <w:pPr>
        <w:spacing w:after="120"/>
      </w:pPr>
      <w:r>
        <w:rPr>
          <w:rFonts w:ascii="Calibri" w:cs="Calibri" w:eastAsia="Calibri" w:hAnsi="Calibri"/>
          <w:b/>
          <w:bCs/>
          <w:sz w:val="22"/>
          <w:szCs w:val="22"/>
        </w:rPr>
        <w:t xml:space="preserve">Category: </w:t>
      </w:r>
      <w:r>
        <w:rPr>
          <w:rFonts w:ascii="Calibri" w:cs="Calibri" w:eastAsia="Calibri" w:hAnsi="Calibri"/>
          <w:b/>
          <w:bCs/>
          <w:color w:val="1F3A5F"/>
          <w:sz w:val="22"/>
          <w:szCs w:val="22"/>
        </w:rPr>
        <w:t xml:space="preserve">[VOTING ITEM]</w:t>
      </w:r>
    </w:p>
    <w:p>
      <w:pPr>
        <w:spacing w:after="120"/>
      </w:pPr>
      <w:r>
        <w:rPr>
          <w:rFonts w:ascii="Calibri" w:cs="Calibri" w:eastAsia="Calibri" w:hAnsi="Calibri"/>
          <w:b/>
          <w:bCs/>
          <w:sz w:val="22"/>
          <w:szCs w:val="22"/>
        </w:rPr>
        <w:t xml:space="preserve">Presenter: </w:t>
      </w:r>
      <w:r>
        <w:rPr>
          <w:rFonts w:ascii="Calibri" w:cs="Calibri" w:eastAsia="Calibri" w:hAnsi="Calibri"/>
          <w:sz w:val="22"/>
          <w:szCs w:val="22"/>
        </w:rPr>
        <w:t xml:space="preserve">Staci Leisman, MD; with Tonia Kim, MD (Renal module director, present to answer specific questions; abstained from the vote)</w:t>
      </w:r>
    </w:p>
    <w:p>
      <w:pPr>
        <w:spacing w:after="120"/>
      </w:pPr>
      <w:r>
        <w:rPr>
          <w:rFonts w:ascii="Calibri" w:cs="Calibri" w:eastAsia="Calibri" w:hAnsi="Calibri"/>
          <w:b/>
          <w:bCs/>
          <w:sz w:val="22"/>
          <w:szCs w:val="22"/>
        </w:rPr>
        <w:t xml:space="preserve">LCME Elements: </w:t>
      </w:r>
      <w:r>
        <w:rPr>
          <w:rFonts w:ascii="Calibri" w:cs="Calibri" w:eastAsia="Calibri" w:hAnsi="Calibri"/>
          <w:sz w:val="22"/>
          <w:szCs w:val="22"/>
        </w:rPr>
        <w:t xml:space="preserve">8.3, 8.4, 8.7, 9.4, 9.7, 9.8</w:t>
      </w:r>
    </w:p>
    <w:p>
      <w:pPr>
        <w:pStyle w:val="Heading3"/>
      </w:pPr>
      <w:r>
        <w:rPr>
          <w:rFonts w:ascii="Calibri" w:cs="Calibri" w:eastAsia="Calibri" w:hAnsi="Calibri"/>
        </w:rPr>
        <w:t xml:space="preserve">Procedural Note</w:t>
      </w:r>
    </w:p>
    <w:p>
      <w:pPr>
        <w:spacing w:after="120"/>
      </w:pPr>
      <w:r>
        <w:rPr>
          <w:rFonts w:ascii="Calibri" w:cs="Calibri" w:eastAsia="Calibri" w:hAnsi="Calibri"/>
          <w:sz w:val="22"/>
          <w:szCs w:val="22"/>
        </w:rPr>
        <w:t xml:space="preserve">Dr. Leisman moved approval of the action plan for the Renal module; Dr. Tonia Kim seconded. Dr. Leisman walked the structure of the module presentation through the Phase 1 CIS pattern. Slides were shared by Ms. Shafiq.</w:t>
      </w:r>
    </w:p>
    <w:p>
      <w:pPr>
        <w:pStyle w:val="Heading3"/>
      </w:pPr>
      <w:r>
        <w:rPr>
          <w:rFonts w:ascii="Calibri" w:cs="Calibri" w:eastAsia="Calibri" w:hAnsi="Calibri"/>
        </w:rPr>
        <w:t xml:space="preserve">Background</w:t>
      </w:r>
    </w:p>
    <w:p>
      <w:pPr>
        <w:spacing w:after="120"/>
      </w:pPr>
      <w:r>
        <w:rPr>
          <w:rFonts w:ascii="Calibri" w:cs="Calibri" w:eastAsia="Calibri" w:hAnsi="Calibri"/>
          <w:sz w:val="22"/>
          <w:szCs w:val="22"/>
        </w:rPr>
        <w:t xml:space="preserve">Module director: Dr. Tonia Kim (Department of Medicine, Nephrology). 4-week module with one CAS exam. Currently positioned as the second-to-last module of Phase 1 (preceding MSK as the last).</w:t>
      </w:r>
    </w:p>
    <w:p>
      <w:pPr>
        <w:pStyle w:val="Heading3"/>
      </w:pPr>
      <w:r>
        <w:rPr>
          <w:rFonts w:ascii="Calibri" w:cs="Calibri" w:eastAsia="Calibri" w:hAnsi="Calibri"/>
        </w:rPr>
        <w:t xml:space="preserve">Performance Outcomes</w:t>
      </w:r>
    </w:p>
    <w:p>
      <w:pPr>
        <w:spacing w:after="120"/>
      </w:pPr>
      <w:r>
        <w:rPr>
          <w:rFonts w:ascii="Calibri" w:cs="Calibri" w:eastAsia="Calibri" w:hAnsi="Calibri"/>
          <w:sz w:val="22"/>
          <w:szCs w:val="22"/>
        </w:rPr>
        <w:t xml:space="preserve">CAS exam: target difficulty 80; average 85. No exam failures; 96% scored above 75. Final module: median 89; one module failure — a student who passed the exam but failed the module due to poor performance on quizzes.</w:t>
      </w:r>
    </w:p>
    <w:p>
      <w:pPr>
        <w:pStyle w:val="Heading3"/>
      </w:pPr>
      <w:r>
        <w:rPr>
          <w:rFonts w:ascii="Calibri" w:cs="Calibri" w:eastAsia="Calibri" w:hAnsi="Calibri"/>
        </w:rPr>
        <w:t xml:space="preserve">Student Feedback Outcomes</w:t>
      </w:r>
    </w:p>
    <w:p>
      <w:pPr>
        <w:spacing w:after="120"/>
      </w:pPr>
      <w:r>
        <w:rPr>
          <w:rFonts w:ascii="Calibri" w:cs="Calibri" w:eastAsia="Calibri" w:hAnsi="Calibri"/>
          <w:sz w:val="22"/>
          <w:szCs w:val="22"/>
        </w:rPr>
        <w:t xml:space="preserve">Dr. Kim scored 100% on every metric except labs (98%). Students described the module as fantastic, well-prepared for Step 1, and well-taught. The action plan reflects only minor changes.</w:t>
      </w:r>
    </w:p>
    <w:p>
      <w:pPr>
        <w:pStyle w:val="Heading3"/>
      </w:pPr>
      <w:r>
        <w:rPr>
          <w:rFonts w:ascii="Calibri" w:cs="Calibri" w:eastAsia="Calibri" w:hAnsi="Calibri"/>
        </w:rPr>
        <w:t xml:space="preserve">Action Plan</w:t>
      </w:r>
    </w:p>
    <w:p>
      <w:pPr>
        <w:pStyle w:val="ListParagraph"/>
        <w:numPr>
          <w:ilvl w:val="0"/>
          <w:numId w:val="2"/>
        </w:numPr>
        <w:spacing w:after="60"/>
      </w:pPr>
      <w:r>
        <w:rPr>
          <w:rFonts w:ascii="Calibri" w:cs="Calibri" w:eastAsia="Calibri" w:hAnsi="Calibri"/>
          <w:sz w:val="22"/>
          <w:szCs w:val="22"/>
        </w:rPr>
        <w:t xml:space="preserve">Move the module earlier in Phase 1 — students requested an earlier placement, given the importance of the topic to understanding cardiovascular and other systems. The module was originally placed at the end of Phase 1 intentionally based on prior conversations with students; the speculation for the change in student preference is that under the legacy curriculum, students had a year of physiology first that exposed them to renal concepts before the organ blocks. Under Ascend, students do not have a stand-alone physiology course, so when they encounter ACE inhibitors and diuretics in cardiovascular (March) without renal background, the concepts only “click” 7 months later when they reach renal (October). Plan: move renal to the last module of Year 1 in academic year 2026–2027.</w:t>
      </w:r>
    </w:p>
    <w:p>
      <w:pPr>
        <w:pStyle w:val="ListParagraph"/>
        <w:numPr>
          <w:ilvl w:val="0"/>
          <w:numId w:val="2"/>
        </w:numPr>
        <w:spacing w:after="60"/>
      </w:pPr>
      <w:r>
        <w:rPr>
          <w:rFonts w:ascii="Calibri" w:cs="Calibri" w:eastAsia="Calibri" w:hAnsi="Calibri"/>
          <w:sz w:val="22"/>
          <w:szCs w:val="22"/>
        </w:rPr>
        <w:t xml:space="preserve">Consequence: toxicology, which has been paired with renal because renal was historically the last module of the year, will move to the new last module of the year (in the new schedule — see below). Toxicology, as a branch of pharmacology, integrates concepts from neuroscience, GI, hematology, endocrine, and renal, so the end-of-year placement remains pedagogically sound; toxicology simply travels with whichever module ends the year.</w:t>
      </w:r>
    </w:p>
    <w:p>
      <w:pPr>
        <w:pStyle w:val="ListParagraph"/>
        <w:numPr>
          <w:ilvl w:val="0"/>
          <w:numId w:val="2"/>
        </w:numPr>
        <w:spacing w:after="60"/>
      </w:pPr>
      <w:r>
        <w:rPr>
          <w:rFonts w:ascii="Calibri" w:cs="Calibri" w:eastAsia="Calibri" w:hAnsi="Calibri"/>
          <w:sz w:val="22"/>
          <w:szCs w:val="22"/>
        </w:rPr>
        <w:t xml:space="preserve">CCSGs — minor: some students found the three pathology CCSGs repetitive (12% identified them as a strength). Given the otherwise overwhelming endorsement, the plan is to hold off on changes and observe.</w:t>
      </w:r>
    </w:p>
    <w:p>
      <w:pPr>
        <w:pStyle w:val="ListParagraph"/>
        <w:numPr>
          <w:ilvl w:val="0"/>
          <w:numId w:val="2"/>
        </w:numPr>
        <w:spacing w:after="60"/>
      </w:pPr>
      <w:r>
        <w:rPr>
          <w:rFonts w:ascii="Calibri" w:cs="Calibri" w:eastAsia="Calibri" w:hAnsi="Calibri"/>
          <w:sz w:val="22"/>
          <w:szCs w:val="22"/>
        </w:rPr>
        <w:t xml:space="preserve">Module shortened by one day due to school holidays falling during the renal block — will remove one or both LGDs (poorly attended) and may adjust labs.</w:t>
      </w:r>
    </w:p>
    <w:p>
      <w:pPr>
        <w:pStyle w:val="ListParagraph"/>
        <w:numPr>
          <w:ilvl w:val="0"/>
          <w:numId w:val="2"/>
        </w:numPr>
        <w:spacing w:after="60"/>
      </w:pPr>
      <w:r>
        <w:rPr>
          <w:rFonts w:ascii="Calibri" w:cs="Calibri" w:eastAsia="Calibri" w:hAnsi="Calibri"/>
          <w:sz w:val="22"/>
          <w:szCs w:val="22"/>
        </w:rPr>
        <w:t xml:space="preserve">Add additional emphasis on AKI and other commonly seen topics — students requested more AKI content; Dr. Kim will adjust CCSGs to highlight AKI.</w:t>
      </w:r>
    </w:p>
    <w:p>
      <w:pPr>
        <w:pStyle w:val="ListParagraph"/>
        <w:numPr>
          <w:ilvl w:val="0"/>
          <w:numId w:val="2"/>
        </w:numPr>
        <w:spacing w:after="60"/>
      </w:pPr>
      <w:r>
        <w:rPr>
          <w:rFonts w:ascii="Calibri" w:cs="Calibri" w:eastAsia="Calibri" w:hAnsi="Calibri"/>
          <w:sz w:val="22"/>
          <w:szCs w:val="22"/>
        </w:rPr>
        <w:t xml:space="preserve">AMBOSS challenges — difficulty finding questions and moving questions between quizzes. Plan: work with the AMBOSS team and consider hiring a fourth-year student to help module directors with AMBOSS searching.</w:t>
      </w:r>
    </w:p>
    <w:p>
      <w:pPr>
        <w:pStyle w:val="ListParagraph"/>
        <w:numPr>
          <w:ilvl w:val="0"/>
          <w:numId w:val="2"/>
        </w:numPr>
        <w:spacing w:after="60"/>
      </w:pPr>
      <w:r>
        <w:rPr>
          <w:rFonts w:ascii="Calibri" w:cs="Calibri" w:eastAsia="Calibri" w:hAnsi="Calibri"/>
          <w:sz w:val="22"/>
          <w:szCs w:val="22"/>
        </w:rPr>
        <w:t xml:space="preserve">Coordination with Endocrine — because renal currently follows endocrine (where students learn adrenal physiology and parathyroid physiology), and the plan is to move renal before endocrine, the two module directors (Dr. Kim and Dr. Maria Scamagas) will work closely to identify content gaps so students have the appropriate physiologic background to understand RAS and rash drugs by the time they reach renal.</w:t>
      </w:r>
    </w:p>
    <w:p>
      <w:pPr>
        <w:pStyle w:val="Heading3"/>
      </w:pPr>
      <w:r>
        <w:rPr>
          <w:rFonts w:ascii="Calibri" w:cs="Calibri" w:eastAsia="Calibri" w:hAnsi="Calibri"/>
        </w:rPr>
        <w:t xml:space="preserve">New Phase 1 Module Schedule (effective AY 2026–2027)</w:t>
      </w:r>
    </w:p>
    <w:p>
      <w:pPr>
        <w:pStyle w:val="ListParagraph"/>
        <w:numPr>
          <w:ilvl w:val="0"/>
          <w:numId w:val="2"/>
        </w:numPr>
        <w:spacing w:after="60"/>
      </w:pPr>
      <w:r>
        <w:rPr>
          <w:rFonts w:ascii="Calibri" w:cs="Calibri" w:eastAsia="Calibri" w:hAnsi="Calibri"/>
          <w:sz w:val="22"/>
          <w:szCs w:val="22"/>
        </w:rPr>
        <w:t xml:space="preserve">Semester 1: unchanged.</w:t>
      </w:r>
    </w:p>
    <w:p>
      <w:pPr>
        <w:pStyle w:val="ListParagraph"/>
        <w:numPr>
          <w:ilvl w:val="0"/>
          <w:numId w:val="2"/>
        </w:numPr>
        <w:spacing w:after="60"/>
      </w:pPr>
      <w:r>
        <w:rPr>
          <w:rFonts w:ascii="Calibri" w:cs="Calibri" w:eastAsia="Calibri" w:hAnsi="Calibri"/>
          <w:sz w:val="22"/>
          <w:szCs w:val="22"/>
        </w:rPr>
        <w:t xml:space="preserve">Semester 2: Neuroscience, Behavioral Science (unchanged), Cardiovascular, Pulmonary, Renal.</w:t>
      </w:r>
    </w:p>
    <w:p>
      <w:pPr>
        <w:pStyle w:val="ListParagraph"/>
        <w:numPr>
          <w:ilvl w:val="0"/>
          <w:numId w:val="2"/>
        </w:numPr>
        <w:spacing w:after="60"/>
      </w:pPr>
      <w:r>
        <w:rPr>
          <w:rFonts w:ascii="Calibri" w:cs="Calibri" w:eastAsia="Calibri" w:hAnsi="Calibri"/>
          <w:sz w:val="22"/>
          <w:szCs w:val="22"/>
        </w:rPr>
        <w:t xml:space="preserve">Semester 3: Hematology, Endocrine, SRH, GI, MSK.</w:t>
      </w:r>
    </w:p>
    <w:p>
      <w:pPr>
        <w:pStyle w:val="ListParagraph"/>
        <w:numPr>
          <w:ilvl w:val="0"/>
          <w:numId w:val="2"/>
        </w:numPr>
        <w:spacing w:after="60"/>
      </w:pPr>
      <w:r>
        <w:rPr>
          <w:rFonts w:ascii="Calibri" w:cs="Calibri" w:eastAsia="Calibri" w:hAnsi="Calibri"/>
          <w:sz w:val="22"/>
          <w:szCs w:val="22"/>
        </w:rPr>
        <w:t xml:space="preserve">Net effect: hematology moves out of semester 2 to semester 3; renal moves to end of semester 2; the middle four modules are reordered. The summer pushes back by one week.</w:t>
      </w:r>
    </w:p>
    <w:p>
      <w:pPr>
        <w:pStyle w:val="Heading3"/>
      </w:pPr>
      <w:r>
        <w:rPr>
          <w:rFonts w:ascii="Calibri" w:cs="Calibri" w:eastAsia="Calibri" w:hAnsi="Calibri"/>
        </w:rPr>
        <w:t xml:space="preserve">Innovation Highlighted — Repetition / Scaffolding via Consistent Diagrams</w:t>
      </w:r>
    </w:p>
    <w:p>
      <w:pPr>
        <w:spacing w:after="120"/>
      </w:pPr>
      <w:r>
        <w:rPr>
          <w:rFonts w:ascii="Calibri" w:cs="Calibri" w:eastAsia="Calibri" w:hAnsi="Calibri"/>
          <w:sz w:val="22"/>
          <w:szCs w:val="22"/>
        </w:rPr>
        <w:t xml:space="preserve">Dr. Kim’s use of diagrams across the module was specifically highlighted as an innovation worth disseminating. The same GFR diagram from Lecture 2 (renal physiology) is reused in Lecture 26 (pre-renal AKI and post-renal AKI), allowing students to recall how GFR is derived and connect to AKI mechanisms. Dr. Kim also incorporates radiology images (e.g., hydronephrosis / hydroureter) to bring AKI mechanisms to clinical reality. Following the PCCS presentation, several module directors reached out to Dr. Leisman about leveraging this approach across the curriculum — connecting slides between modules so that, for example, the McG and Foundations of Immunology slides about red and white blood cells reappear in the Hematology module. The innovation is being prepared for broader deployment.</w:t>
      </w:r>
    </w:p>
    <w:p>
      <w:pPr>
        <w:pStyle w:val="Heading3"/>
      </w:pPr>
      <w:r>
        <w:rPr>
          <w:rFonts w:ascii="Calibri" w:cs="Calibri" w:eastAsia="Calibri" w:hAnsi="Calibri"/>
        </w:rPr>
        <w:t xml:space="preserve">Member Discussion — Toxicology Placement Rationale</w:t>
      </w:r>
    </w:p>
    <w:p>
      <w:pPr>
        <w:spacing w:after="120"/>
      </w:pPr>
      <w:r>
        <w:rPr>
          <w:rFonts w:ascii="Calibri" w:cs="Calibri" w:eastAsia="Calibri" w:hAnsi="Calibri"/>
          <w:sz w:val="22"/>
          <w:szCs w:val="22"/>
        </w:rPr>
        <w:t xml:space="preserve">Mr. Alan Zhang asked the rationale for placing toxicology in the last module of the year. Dr. Kim responded: toxicology is a branch of pharmacology that could be spread across the entire curriculum, but because it integrates content from neuroscience, GI, hematology, endocrine, and renal, end-of-year placement allows for synthesis. The current placement in renal is historical; with renal moving earlier, toxicology will move to the new last module of the year.</w:t>
      </w:r>
    </w:p>
    <w:p>
      <w:pPr>
        <w:pStyle w:val="Heading3"/>
      </w:pPr>
      <w:r>
        <w:rPr>
          <w:rFonts w:ascii="Calibri" w:cs="Calibri" w:eastAsia="Calibri" w:hAnsi="Calibri"/>
        </w:rPr>
        <w:t xml:space="preserve">Member Discussion — Why Move Renal Earlier</w:t>
      </w:r>
    </w:p>
    <w:p>
      <w:pPr>
        <w:spacing w:after="120"/>
      </w:pPr>
      <w:r>
        <w:rPr>
          <w:rFonts w:ascii="Calibri" w:cs="Calibri" w:eastAsia="Calibri" w:hAnsi="Calibri"/>
          <w:sz w:val="22"/>
          <w:szCs w:val="22"/>
        </w:rPr>
        <w:t xml:space="preserve">Dr. Richard Stern congratulated Dr. Kim on the module performance and asked, given the strong scores, why the change at all — “why take perfection and tinker with it?” Dr. Leisman explained the rationale: in legacy, students learned cardiac, pulmonary, GI, and renal physiology together in a unified physiology course, with concepts about AKI and diuretics introduced naturally. Under Ascend (no standalone physiology course), students reach cardiovascular in March and encounter ACE inhibitors and diuretics with no renal background; renal in October is too late — students hear in the renal module that diuretics are “finally clicking now,” 7 months too late. Earlier renal placement bridges that gap. Dr. Stern accepted the reasoning.</w:t>
      </w:r>
    </w:p>
    <w:p>
      <w:pPr>
        <w:pStyle w:val="Heading3"/>
      </w:pPr>
      <w:r>
        <w:rPr>
          <w:rFonts w:ascii="Calibri" w:cs="Calibri" w:eastAsia="Calibri" w:hAnsi="Calibri"/>
        </w:rPr>
        <w:t xml:space="preserve">Member Discussion — Confirming the New Schedule</w:t>
      </w:r>
    </w:p>
    <w:p>
      <w:pPr>
        <w:spacing w:after="120"/>
      </w:pPr>
      <w:r>
        <w:rPr>
          <w:rFonts w:ascii="Calibri" w:cs="Calibri" w:eastAsia="Calibri" w:hAnsi="Calibri"/>
          <w:sz w:val="22"/>
          <w:szCs w:val="22"/>
        </w:rPr>
        <w:t xml:space="preserve">Mr. Zhang asked Dr. Leisman to confirm the new module ordering. Dr. Leisman confirmed: Semester 1 unchanged; Semester 2 = Neuroscience, Behavioral Science (no change), Cardiovascular, Pulmonary, Renal; Semester 3 = Hematology, Endocrine, SRH, GI, MSK. Hematology moved out of semester 2 to semester 3. The summer pushes back one week.</w:t>
      </w:r>
    </w:p>
    <w:p>
      <w:pPr>
        <w:pStyle w:val="Heading3"/>
      </w:pPr>
      <w:r>
        <w:rPr>
          <w:rFonts w:ascii="Calibri" w:cs="Calibri" w:eastAsia="Calibri" w:hAnsi="Calibri"/>
        </w:rPr>
        <w:t xml:space="preserve">Vote — Renal Module Review and Action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Motion</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To approve the action plan for the Renal module as presented — reposition renal to the last module of Year 1 (Semester 2, AY 2026–27); toxicology moves to the new last module of the year; minor CCSG and lab adjustments; AKI emphasis; AMBOSS searching support; coordination with endocrine; module-shortening adjustments for school holidays.</w:t>
            </w:r>
          </w:p>
        </w:tc>
      </w:tr>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Moved by</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Staci Leisman, MD</w:t>
            </w:r>
          </w:p>
        </w:tc>
      </w:tr>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Seconded by</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Tonia Kim, MD</w:t>
            </w:r>
          </w:p>
        </w:tc>
      </w:tr>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In favor</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Confirmed via electronic voting mechanism.</w:t>
            </w:r>
          </w:p>
        </w:tc>
      </w:tr>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Opposed</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None received under the opposition-via-DM procedure.</w:t>
            </w:r>
          </w:p>
        </w:tc>
      </w:tr>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Abstentions</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Tonia Kim, MD (abstaining as the Renal module director, on Ms. Anand’s recommendation).</w:t>
            </w:r>
          </w:p>
        </w:tc>
      </w:tr>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Outcome</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Motion carried — Renal module review and action plan approved.</w:t>
            </w:r>
          </w:p>
        </w:tc>
      </w:tr>
    </w:tbl>
    <w:p>
      <w:pPr>
        <w:pBdr>
          <w:left w:val="single" w:color="C00000" w:sz="12" w:space="8"/>
        </w:pBdr>
        <w:spacing w:after="120" w:before="100"/>
        <w:ind w:left="360"/>
      </w:pPr>
      <w:r>
        <w:rPr>
          <w:rFonts w:ascii="Calibri" w:cs="Calibri" w:eastAsia="Calibri" w:hAnsi="Calibri"/>
          <w:b/>
          <w:bCs/>
          <w:i/>
          <w:iCs/>
          <w:color w:val="595959"/>
          <w:sz w:val="20"/>
          <w:szCs w:val="20"/>
        </w:rPr>
        <w:t xml:space="preserve">Flag for accreditation traceability: </w:t>
      </w:r>
      <w:r>
        <w:rPr>
          <w:rFonts w:ascii="Calibri" w:cs="Calibri" w:eastAsia="Calibri" w:hAnsi="Calibri"/>
          <w:i/>
          <w:iCs/>
          <w:color w:val="595959"/>
          <w:sz w:val="20"/>
          <w:szCs w:val="20"/>
        </w:rPr>
        <w:t xml:space="preserve">Specific yeas / nays tally beyond Dr. Kim’s abstention was not surfaced in the transcript; reconciliation against the Office of Curricular Affairs voting roll is recommended.</w:t>
      </w:r>
    </w:p>
    <w:p>
      <w:pPr>
        <w:pBdr>
          <w:left w:val="single" w:color="2E7D32" w:sz="12" w:space="8"/>
        </w:pBdr>
        <w:spacing w:after="120" w:before="100"/>
        <w:ind w:left="360"/>
      </w:pPr>
      <w:r>
        <w:rPr>
          <w:rFonts w:ascii="Calibri" w:cs="Calibri" w:eastAsia="Calibri" w:hAnsi="Calibri"/>
          <w:b/>
          <w:bCs/>
          <w:i/>
          <w:iCs/>
          <w:color w:val="2E7D32"/>
          <w:sz w:val="20"/>
          <w:szCs w:val="20"/>
        </w:rPr>
        <w:t xml:space="preserve">Closed-loop CQI demonstration: </w:t>
      </w:r>
      <w:r>
        <w:rPr>
          <w:rFonts w:ascii="Calibri" w:cs="Calibri" w:eastAsia="Calibri" w:hAnsi="Calibri"/>
          <w:i/>
          <w:iCs/>
          <w:color w:val="2E7D32"/>
          <w:sz w:val="20"/>
          <w:szCs w:val="20"/>
        </w:rPr>
        <w:t xml:space="preserve">The Renal module review demonstrates closed-loop CQI both at the module level (action plan responsive to AY 2025–26 student feedback and faculty observation) and at the curriculum level (the cross-module schedule revision repositions renal to address a gap created by the absence of a standalone physiology course in Ascend). Dr. Kim’s scaffolding-via-consistent-diagrams innovation is being formalized for broader deployment across modules, with cross-module slide connectivity enabling true vertical integration of foundational concepts (e.g., McG / Immunology slides reappearing in Hematology). Annual review will follow within the standard PCCS cycle.</w:t>
      </w:r>
    </w:p>
    <w:p>
      <w:pPr>
        <w:pStyle w:val="Heading2"/>
      </w:pPr>
      <w:r>
        <w:rPr>
          <w:rFonts w:ascii="Calibri" w:cs="Calibri" w:eastAsia="Calibri" w:hAnsi="Calibri"/>
        </w:rPr>
        <w:t xml:space="preserve">6.3  IT Infrastructure, Educational Technology, and Library Access on Clerkships (Informational)</w:t>
      </w:r>
    </w:p>
    <w:p>
      <w:pPr>
        <w:spacing w:after="120"/>
      </w:pPr>
      <w:r>
        <w:rPr>
          <w:rFonts w:ascii="Calibri" w:cs="Calibri" w:eastAsia="Calibri" w:hAnsi="Calibri"/>
          <w:b/>
          <w:bCs/>
          <w:sz w:val="22"/>
          <w:szCs w:val="22"/>
        </w:rPr>
        <w:t xml:space="preserve">Category: </w:t>
      </w:r>
      <w:r>
        <w:rPr>
          <w:rFonts w:ascii="Calibri" w:cs="Calibri" w:eastAsia="Calibri" w:hAnsi="Calibri"/>
          <w:b/>
          <w:bCs/>
          <w:color w:val="1F3A5F"/>
          <w:sz w:val="22"/>
          <w:szCs w:val="22"/>
        </w:rPr>
        <w:t xml:space="preserve">[FOR REVIEW — informational, no vote]</w:t>
      </w:r>
    </w:p>
    <w:p>
      <w:pPr>
        <w:spacing w:after="120"/>
      </w:pPr>
      <w:r>
        <w:rPr>
          <w:rFonts w:ascii="Calibri" w:cs="Calibri" w:eastAsia="Calibri" w:hAnsi="Calibri"/>
          <w:b/>
          <w:bCs/>
          <w:sz w:val="22"/>
          <w:szCs w:val="22"/>
        </w:rPr>
        <w:t xml:space="preserve">Presenters: </w:t>
      </w:r>
      <w:r>
        <w:rPr>
          <w:rFonts w:ascii="Calibri" w:cs="Calibri" w:eastAsia="Calibri" w:hAnsi="Calibri"/>
          <w:sz w:val="22"/>
          <w:szCs w:val="22"/>
        </w:rPr>
        <w:t xml:space="preserve">Kris Alpi (Associate Dean of Libraries and Information Sciences); Joe Spadaro (Executive IT Director for Scholarly Technologies)</w:t>
      </w:r>
    </w:p>
    <w:p>
      <w:pPr>
        <w:spacing w:after="120"/>
      </w:pPr>
      <w:r>
        <w:rPr>
          <w:rFonts w:ascii="Calibri" w:cs="Calibri" w:eastAsia="Calibri" w:hAnsi="Calibri"/>
          <w:b/>
          <w:bCs/>
          <w:sz w:val="22"/>
          <w:szCs w:val="22"/>
        </w:rPr>
        <w:t xml:space="preserve">LCME Elements: </w:t>
      </w:r>
      <w:r>
        <w:rPr>
          <w:rFonts w:ascii="Calibri" w:cs="Calibri" w:eastAsia="Calibri" w:hAnsi="Calibri"/>
          <w:sz w:val="22"/>
          <w:szCs w:val="22"/>
        </w:rPr>
        <w:t xml:space="preserve">5.x — Educational Resources and Infrastructure (specifically network, system reliability, technical support, library access, educational technology and learning management systems); 12.6 (computer, library, and audiovisual resources) where relevant</w:t>
      </w:r>
    </w:p>
    <w:p>
      <w:pPr>
        <w:pStyle w:val="Heading3"/>
      </w:pPr>
      <w:r>
        <w:rPr>
          <w:rFonts w:ascii="Calibri" w:cs="Calibri" w:eastAsia="Calibri" w:hAnsi="Calibri"/>
        </w:rPr>
        <w:t xml:space="preserve">Equivalent Network and Resource Access Across System Sites</w:t>
      </w:r>
    </w:p>
    <w:p>
      <w:pPr>
        <w:spacing w:after="120"/>
      </w:pPr>
      <w:r>
        <w:rPr>
          <w:rFonts w:ascii="Calibri" w:cs="Calibri" w:eastAsia="Calibri" w:hAnsi="Calibri"/>
          <w:sz w:val="22"/>
          <w:szCs w:val="22"/>
        </w:rPr>
        <w:t xml:space="preserve">Mr. Spadaro confirmed: every campus has wireless coverage in classrooms with sufficient electrical outlets. The same telecommunications technology is available across all instructional sites, including Eduroam (a service that allows users to log in to other institutions’ Wi-Fi using Mount Sinai credentials). Facilities are connected via an integrated, secure, private high-speed network — the same network is segmented to support both clinical and educational delivery, with the high reliability required for clinical operations carried over to educational use.</w:t>
      </w:r>
    </w:p>
    <w:p>
      <w:pPr>
        <w:pStyle w:val="Heading3"/>
      </w:pPr>
      <w:r>
        <w:rPr>
          <w:rFonts w:ascii="Calibri" w:cs="Calibri" w:eastAsia="Calibri" w:hAnsi="Calibri"/>
        </w:rPr>
        <w:t xml:space="preserve">Monitoring and Improvement of Systems</w:t>
      </w:r>
    </w:p>
    <w:p>
      <w:pPr>
        <w:spacing w:after="120"/>
      </w:pPr>
      <w:r>
        <w:rPr>
          <w:rFonts w:ascii="Calibri" w:cs="Calibri" w:eastAsia="Calibri" w:hAnsi="Calibri"/>
          <w:sz w:val="22"/>
          <w:szCs w:val="22"/>
        </w:rPr>
        <w:t xml:space="preserve">Regular assessments of products and services. Monthly statistics and metrics collected and used for service improvements, planning, and resource allocation. Feedback channels include the IT Steering Committee, the Student Council Subcommittee on Technology and Libraries, internal and external assessments / surveys, and the Ask It help desk (in-person and email). Statistics on response times and inter-unit hops are tracked.</w:t>
      </w:r>
    </w:p>
    <w:p>
      <w:pPr>
        <w:pStyle w:val="Heading3"/>
      </w:pPr>
      <w:r>
        <w:rPr>
          <w:rFonts w:ascii="Calibri" w:cs="Calibri" w:eastAsia="Calibri" w:hAnsi="Calibri"/>
        </w:rPr>
        <w:t xml:space="preserve">Adequate Staffing</w:t>
      </w:r>
    </w:p>
    <w:p>
      <w:pPr>
        <w:spacing w:after="120"/>
      </w:pPr>
      <w:r>
        <w:rPr>
          <w:rFonts w:ascii="Calibri" w:cs="Calibri" w:eastAsia="Calibri" w:hAnsi="Calibri"/>
          <w:sz w:val="22"/>
          <w:szCs w:val="22"/>
        </w:rPr>
        <w:t xml:space="preserve">Total IT staff FTEs: 39 (29 professional + 10 technical). No part-time staff. Close collaboration with Central IT for Wi-Fi network provisioning and cybersecurity. Public, classroom, and instructional spaces have an equal level of Wi-Fi access (Aaron Hall to Annenberg). EdTech unit within the Library has 4 FTEs supporting online learning platforms (Blackboard) and guiding instructors and curricular staff. The Med Ed tech staff (e.g., Jeff Cavalli and Kian, reporting to Michelle Santos) are entirely devoted to MedEd and are part of the count. Some Central IT desktop support staff are funded by the school and assigned to the school.</w:t>
      </w:r>
    </w:p>
    <w:p>
      <w:pPr>
        <w:spacing w:after="120"/>
      </w:pPr>
      <w:r>
        <w:rPr>
          <w:rFonts w:ascii="Calibri" w:cs="Calibri" w:eastAsia="Calibri" w:hAnsi="Calibri"/>
          <w:sz w:val="22"/>
          <w:szCs w:val="22"/>
        </w:rPr>
        <w:t xml:space="preserve">Of the 4 EdTech unit FTEs, approximately 2.5 FTE has been focused on MedEd over the past year and into the current year while Ascend rolls out — Dr. Marta Korakowska (Educational Technology and Strategy) has been working hand-in-hand with Curricular Affairs every step of the way; she is currently on maternity leave with Eric Poppel (senior instructional designer) filling in. The level of MedEd-specific support will normalize as coordinators become more comfortable with the system; expected to evolve over the next year.</w:t>
      </w:r>
    </w:p>
    <w:p>
      <w:pPr>
        <w:pStyle w:val="Heading3"/>
      </w:pPr>
      <w:r>
        <w:rPr>
          <w:rFonts w:ascii="Calibri" w:cs="Calibri" w:eastAsia="Calibri" w:hAnsi="Calibri"/>
        </w:rPr>
        <w:t xml:space="preserve">Student Perception of Technical Support</w:t>
      </w:r>
    </w:p>
    <w:p>
      <w:pPr>
        <w:spacing w:after="120"/>
      </w:pPr>
      <w:r>
        <w:rPr>
          <w:rFonts w:ascii="Calibri" w:cs="Calibri" w:eastAsia="Calibri" w:hAnsi="Calibri"/>
          <w:sz w:val="22"/>
          <w:szCs w:val="22"/>
        </w:rPr>
        <w:t xml:space="preserve">94–97% of students agree they have adequate technical support. Ask It staff frequently receive STAR awards; unprompted compliments are common. Mr. Spadaro shared a representative student comment from the slide: “I’ve had amazing experiences, they’re incredibly helpful.”</w:t>
      </w:r>
    </w:p>
    <w:p>
      <w:pPr>
        <w:pStyle w:val="Heading3"/>
      </w:pPr>
      <w:r>
        <w:rPr>
          <w:rFonts w:ascii="Calibri" w:cs="Calibri" w:eastAsia="Calibri" w:hAnsi="Calibri"/>
        </w:rPr>
        <w:t xml:space="preserve">Educational Resources and Library Access on Clerkships</w:t>
      </w:r>
    </w:p>
    <w:p>
      <w:pPr>
        <w:spacing w:after="120"/>
      </w:pPr>
      <w:r>
        <w:rPr>
          <w:rFonts w:ascii="Calibri" w:cs="Calibri" w:eastAsia="Calibri" w:hAnsi="Calibri"/>
          <w:sz w:val="22"/>
          <w:szCs w:val="22"/>
        </w:rPr>
        <w:t xml:space="preserve">Dr. Alpi presented the educational-resources data. ISA data: 85–99% of students agree that they have access to online and clerkship instructional materials from any location. Dr. Alpi flagged a critical concern: the M1 cohort’s 85% agreement is being driven by approximately 13% NA responses — LCME interprets NA on this awareness-related question as the student being uninformed, not as the question being inapplicable. M1 students should find this question applicable since they should be able to access course materials; the work to do is to make this question feel applicable to them so the agreement-percentage is appropriately captured.</w:t>
      </w:r>
    </w:p>
    <w:p>
      <w:pPr>
        <w:pStyle w:val="Heading3"/>
      </w:pPr>
      <w:r>
        <w:rPr>
          <w:rFonts w:ascii="Calibri" w:cs="Calibri" w:eastAsia="Calibri" w:hAnsi="Calibri"/>
        </w:rPr>
        <w:t xml:space="preserve">System Changes During AY 2026–27</w:t>
      </w:r>
    </w:p>
    <w:p>
      <w:pPr>
        <w:pStyle w:val="ListParagraph"/>
        <w:numPr>
          <w:ilvl w:val="0"/>
          <w:numId w:val="2"/>
        </w:numPr>
        <w:spacing w:after="60"/>
      </w:pPr>
      <w:r>
        <w:rPr>
          <w:rFonts w:ascii="Calibri" w:cs="Calibri" w:eastAsia="Calibri" w:hAnsi="Calibri"/>
          <w:sz w:val="22"/>
          <w:szCs w:val="22"/>
        </w:rPr>
        <w:t xml:space="preserve">Transition to Blackboard Ultra (new version).</w:t>
      </w:r>
    </w:p>
    <w:p>
      <w:pPr>
        <w:pStyle w:val="ListParagraph"/>
        <w:numPr>
          <w:ilvl w:val="0"/>
          <w:numId w:val="2"/>
        </w:numPr>
        <w:spacing w:after="60"/>
      </w:pPr>
      <w:r>
        <w:rPr>
          <w:rFonts w:ascii="Calibri" w:cs="Calibri" w:eastAsia="Calibri" w:hAnsi="Calibri"/>
          <w:sz w:val="22"/>
          <w:szCs w:val="22"/>
        </w:rPr>
        <w:t xml:space="preserve">Single sign-on (SSO) and multi-factor authentication added for cybersecurity, consistent with Mount Sinai-wide cybersecurity posture.</w:t>
      </w:r>
    </w:p>
    <w:p>
      <w:pPr>
        <w:pStyle w:val="ListParagraph"/>
        <w:numPr>
          <w:ilvl w:val="0"/>
          <w:numId w:val="2"/>
        </w:numPr>
        <w:spacing w:after="60"/>
      </w:pPr>
      <w:r>
        <w:rPr>
          <w:rFonts w:ascii="Calibri" w:cs="Calibri" w:eastAsia="Calibri" w:hAnsi="Calibri"/>
          <w:sz w:val="22"/>
          <w:szCs w:val="22"/>
        </w:rPr>
        <w:t xml:space="preserve">Landing page and templates redesigned (work led by Dr. Korakowska with Curricular Affairs) to reduce cognitive load — same setup across MedEd courses for fast student orientation between modules.</w:t>
      </w:r>
    </w:p>
    <w:p>
      <w:pPr>
        <w:pStyle w:val="ListParagraph"/>
        <w:numPr>
          <w:ilvl w:val="0"/>
          <w:numId w:val="2"/>
        </w:numPr>
        <w:spacing w:after="60"/>
      </w:pPr>
      <w:r>
        <w:rPr>
          <w:rFonts w:ascii="Calibri" w:cs="Calibri" w:eastAsia="Calibri" w:hAnsi="Calibri"/>
          <w:sz w:val="22"/>
          <w:szCs w:val="22"/>
        </w:rPr>
        <w:t xml:space="preserve">Portfolio tool launched for reflection assignments, currently used in some clerkships.</w:t>
      </w:r>
    </w:p>
    <w:p>
      <w:pPr>
        <w:pStyle w:val="Heading3"/>
      </w:pPr>
      <w:r>
        <w:rPr>
          <w:rFonts w:ascii="Calibri" w:cs="Calibri" w:eastAsia="Calibri" w:hAnsi="Calibri"/>
        </w:rPr>
        <w:t xml:space="preserve">Library Access on Clerkships — Physical Spaces</w:t>
      </w:r>
    </w:p>
    <w:p>
      <w:pPr>
        <w:spacing w:after="120"/>
      </w:pPr>
      <w:r>
        <w:rPr>
          <w:rFonts w:ascii="Calibri" w:cs="Calibri" w:eastAsia="Calibri" w:hAnsi="Calibri"/>
          <w:sz w:val="22"/>
          <w:szCs w:val="22"/>
        </w:rPr>
        <w:t xml:space="preserve">Levy Library (Annenberg Building) serves Mount Sinai Hospital clerkships. Mount Sinai West and Morningside have dedicated 24-7 libraries with Wi-Fi, computer workstations (some with school statistical software), printers, and dual-monitor stations (West has more). South Nassau has a library, but the school does not currently send clerkship students there. Other system-site clerkship spaces are not under the library’s purview — outlet / study-space assessments at non-library sites are not tracked through the library.</w:t>
      </w:r>
    </w:p>
    <w:p>
      <w:pPr>
        <w:spacing w:after="120"/>
      </w:pPr>
      <w:r>
        <w:rPr>
          <w:rFonts w:ascii="Calibri" w:cs="Calibri" w:eastAsia="Calibri" w:hAnsi="Calibri"/>
          <w:sz w:val="22"/>
          <w:szCs w:val="22"/>
        </w:rPr>
        <w:t xml:space="preserve">During the recent nursing strike / labor action, the West library space was constrained to about 1.5 hours per day while the Department of Medicine held clinical rounds in the space (privacy reasons). Outside such temporary constraints, both spaces are 24-7 — valuable for students who live or spend time on the west side.</w:t>
      </w:r>
    </w:p>
    <w:p>
      <w:pPr>
        <w:pStyle w:val="Heading3"/>
      </w:pPr>
      <w:r>
        <w:rPr>
          <w:rFonts w:ascii="Calibri" w:cs="Calibri" w:eastAsia="Calibri" w:hAnsi="Calibri"/>
        </w:rPr>
        <w:t xml:space="preserve">Member Discussion</w:t>
      </w:r>
    </w:p>
    <w:p>
      <w:pPr>
        <w:spacing w:after="120"/>
      </w:pPr>
      <w:r>
        <w:rPr>
          <w:rFonts w:ascii="Calibri" w:cs="Calibri" w:eastAsia="Calibri" w:hAnsi="Calibri"/>
          <w:sz w:val="22"/>
          <w:szCs w:val="22"/>
        </w:rPr>
        <w:t xml:space="preserve">The Chair asked whether the 4 EdTech FTEs serve only the medical school or also the graduate school. Dr. Alpi clarified that the 4 FTEs cover both schools, with approximately 2.5 FTE currently focused on MedEd while Ascend rolls out — expected to normalize over the next year as coordinators become more comfortable with the system. The Chair noted she has additional questions and will follow up with Dr. Alpi offline.</w:t>
      </w:r>
    </w:p>
    <w:p>
      <w:pPr>
        <w:pStyle w:val="Heading3"/>
      </w:pPr>
      <w:r>
        <w:rPr>
          <w:rFonts w:ascii="Calibri" w:cs="Calibri" w:eastAsia="Calibri" w:hAnsi="Calibri"/>
        </w:rPr>
        <w:t xml:space="preserve">Outcome and Next Steps</w:t>
      </w:r>
    </w:p>
    <w:p>
      <w:pPr>
        <w:spacing w:after="120"/>
      </w:pPr>
      <w:r>
        <w:rPr>
          <w:rFonts w:ascii="Calibri" w:cs="Calibri" w:eastAsia="Calibri" w:hAnsi="Calibri"/>
          <w:sz w:val="22"/>
          <w:szCs w:val="22"/>
        </w:rPr>
        <w:t xml:space="preserve">Received and reviewed. Member feedback on how to help M1 students recognize the access question as applicable will be solicited going forward (raised by Dr. Alpi for student-committee feedback). The IT and library teams continue normal monitoring and reporting cycles. The presentation establishes the LCME-defensible posture on Element 5.x for the upcoming accreditation cycle.</w:t>
      </w:r>
    </w:p>
    <w:p>
      <w:pPr>
        <w:pStyle w:val="Heading2"/>
      </w:pPr>
      <w:r>
        <w:rPr>
          <w:rFonts w:ascii="Calibri" w:cs="Calibri" w:eastAsia="Calibri" w:hAnsi="Calibri"/>
        </w:rPr>
        <w:t xml:space="preserve">6.4  Pre-Medical Admissions Requirements Update (Informational)</w:t>
      </w:r>
    </w:p>
    <w:p>
      <w:pPr>
        <w:spacing w:after="120"/>
      </w:pPr>
      <w:r>
        <w:rPr>
          <w:rFonts w:ascii="Calibri" w:cs="Calibri" w:eastAsia="Calibri" w:hAnsi="Calibri"/>
          <w:b/>
          <w:bCs/>
          <w:sz w:val="22"/>
          <w:szCs w:val="22"/>
        </w:rPr>
        <w:t xml:space="preserve">Category: </w:t>
      </w:r>
      <w:r>
        <w:rPr>
          <w:rFonts w:ascii="Calibri" w:cs="Calibri" w:eastAsia="Calibri" w:hAnsi="Calibri"/>
          <w:b/>
          <w:bCs/>
          <w:color w:val="1F3A5F"/>
          <w:sz w:val="22"/>
          <w:szCs w:val="22"/>
        </w:rPr>
        <w:t xml:space="preserve">[FOR REVIEW — informational, no vote]</w:t>
      </w:r>
    </w:p>
    <w:p>
      <w:pPr>
        <w:spacing w:after="120"/>
      </w:pPr>
      <w:r>
        <w:rPr>
          <w:rFonts w:ascii="Calibri" w:cs="Calibri" w:eastAsia="Calibri" w:hAnsi="Calibri"/>
          <w:b/>
          <w:bCs/>
          <w:sz w:val="22"/>
          <w:szCs w:val="22"/>
        </w:rPr>
        <w:t xml:space="preserve">Presenter: </w:t>
      </w:r>
      <w:r>
        <w:rPr>
          <w:rFonts w:ascii="Calibri" w:cs="Calibri" w:eastAsia="Calibri" w:hAnsi="Calibri"/>
          <w:sz w:val="22"/>
          <w:szCs w:val="22"/>
        </w:rPr>
        <w:t xml:space="preserve">Valerie Parkas, MD</w:t>
      </w:r>
    </w:p>
    <w:p>
      <w:pPr>
        <w:spacing w:after="120"/>
      </w:pPr>
      <w:r>
        <w:rPr>
          <w:rFonts w:ascii="Calibri" w:cs="Calibri" w:eastAsia="Calibri" w:hAnsi="Calibri"/>
          <w:b/>
          <w:bCs/>
          <w:sz w:val="22"/>
          <w:szCs w:val="22"/>
        </w:rPr>
        <w:t xml:space="preserve">LCME Elements: </w:t>
      </w:r>
      <w:r>
        <w:rPr>
          <w:rFonts w:ascii="Calibri" w:cs="Calibri" w:eastAsia="Calibri" w:hAnsi="Calibri"/>
          <w:sz w:val="22"/>
          <w:szCs w:val="22"/>
        </w:rPr>
        <w:t xml:space="preserve">10.x — Medical Student Selection (specifically pre-medical education required coursework); 11.x — Medical Student Academic Support (relevant to required coursework / matriculation thresholds)</w:t>
      </w:r>
    </w:p>
    <w:p>
      <w:pPr>
        <w:pStyle w:val="Heading3"/>
      </w:pPr>
      <w:r>
        <w:rPr>
          <w:rFonts w:ascii="Calibri" w:cs="Calibri" w:eastAsia="Calibri" w:hAnsi="Calibri"/>
        </w:rPr>
        <w:t xml:space="preserve">LCME Standard</w:t>
      </w:r>
    </w:p>
    <w:p>
      <w:pPr>
        <w:spacing w:after="120"/>
      </w:pPr>
      <w:r>
        <w:rPr>
          <w:rFonts w:ascii="Calibri" w:cs="Calibri" w:eastAsia="Calibri" w:hAnsi="Calibri"/>
          <w:sz w:val="22"/>
          <w:szCs w:val="22"/>
        </w:rPr>
        <w:t xml:space="preserve">LCME requires that the medical school encourage potential applicants to acquire a broad undergraduate education — humanities, natural sciences, social sciences — and combine that with specific pre-medical coursework deemed essential preparation for successful completion of the medical education curriculum. The Selection Subcommittee of the Admissions Committee has approved the proposal Dr. Parkas was presenting.</w:t>
      </w:r>
    </w:p>
    <w:p>
      <w:pPr>
        <w:pStyle w:val="Heading3"/>
      </w:pPr>
      <w:r>
        <w:rPr>
          <w:rFonts w:ascii="Calibri" w:cs="Calibri" w:eastAsia="Calibri" w:hAnsi="Calibri"/>
        </w:rPr>
        <w:t xml:space="preserve">Process and Comparison Set</w:t>
      </w:r>
    </w:p>
    <w:p>
      <w:pPr>
        <w:spacing w:after="120"/>
      </w:pPr>
      <w:r>
        <w:rPr>
          <w:rFonts w:ascii="Calibri" w:cs="Calibri" w:eastAsia="Calibri" w:hAnsi="Calibri"/>
          <w:sz w:val="22"/>
          <w:szCs w:val="22"/>
        </w:rPr>
        <w:t xml:space="preserve">The Admissions team reviewed: (1) other early assurance programs (FlexMed, Penn PASS, Albany, Rochester, Jefferson) — GPA requirements range from 3.5 to 3.7, with FlexMed at 3.5, Penn PASS at 3.7, Albany at 3.5, Rochester at 3.6, Jefferson at 3.5; (2) admissions outcomes data; (3) student outcomes data with Student Affairs.</w:t>
      </w:r>
    </w:p>
    <w:p>
      <w:pPr>
        <w:pStyle w:val="Heading3"/>
      </w:pPr>
      <w:r>
        <w:rPr>
          <w:rFonts w:ascii="Calibri" w:cs="Calibri" w:eastAsia="Calibri" w:hAnsi="Calibri"/>
        </w:rPr>
        <w:t xml:space="preserve">FlexMed Admissions Data — 2024 vs 2025 Cycles</w:t>
      </w:r>
    </w:p>
    <w:p>
      <w:pPr>
        <w:pStyle w:val="ListParagraph"/>
        <w:numPr>
          <w:ilvl w:val="0"/>
          <w:numId w:val="2"/>
        </w:numPr>
        <w:spacing w:after="60"/>
      </w:pPr>
      <w:r>
        <w:rPr>
          <w:rFonts w:ascii="Calibri" w:cs="Calibri" w:eastAsia="Calibri" w:hAnsi="Calibri"/>
          <w:sz w:val="22"/>
          <w:szCs w:val="22"/>
        </w:rPr>
        <w:t xml:space="preserve">Applications: 856 (2024) → 639 (2025). Decrease prompted by adding a GPA threshold to apply and stopping international applications (rationale: a multi-year commitment in advance is not advisable in the current period without certainty).</w:t>
      </w:r>
    </w:p>
    <w:p>
      <w:pPr>
        <w:pStyle w:val="ListParagraph"/>
        <w:numPr>
          <w:ilvl w:val="0"/>
          <w:numId w:val="2"/>
        </w:numPr>
        <w:spacing w:after="60"/>
      </w:pPr>
      <w:r>
        <w:rPr>
          <w:rFonts w:ascii="Calibri" w:cs="Calibri" w:eastAsia="Calibri" w:hAnsi="Calibri"/>
          <w:sz w:val="22"/>
          <w:szCs w:val="22"/>
        </w:rPr>
        <w:t xml:space="preserve">Interviews: 91 → 94. Acceptances: ~35–40 (5% acceptance rate).</w:t>
      </w:r>
    </w:p>
    <w:p>
      <w:pPr>
        <w:pStyle w:val="ListParagraph"/>
        <w:numPr>
          <w:ilvl w:val="0"/>
          <w:numId w:val="2"/>
        </w:numPr>
        <w:spacing w:after="60"/>
      </w:pPr>
      <w:r>
        <w:rPr>
          <w:rFonts w:ascii="Calibri" w:cs="Calibri" w:eastAsia="Calibri" w:hAnsi="Calibri"/>
          <w:sz w:val="22"/>
          <w:szCs w:val="22"/>
        </w:rPr>
        <w:t xml:space="preserve">Interviewed GPA range: 3.54–4.0 (2024) → 3.74–4.0 (2025).</w:t>
      </w:r>
    </w:p>
    <w:p>
      <w:pPr>
        <w:pStyle w:val="ListParagraph"/>
        <w:numPr>
          <w:ilvl w:val="0"/>
          <w:numId w:val="2"/>
        </w:numPr>
        <w:spacing w:after="60"/>
      </w:pPr>
      <w:r>
        <w:rPr>
          <w:rFonts w:ascii="Calibri" w:cs="Calibri" w:eastAsia="Calibri" w:hAnsi="Calibri"/>
          <w:sz w:val="22"/>
          <w:szCs w:val="22"/>
        </w:rPr>
        <w:t xml:space="preserve">Accepted GPA range: 3.68–4.0 (2024) → 3.75–4.0 (2025).</w:t>
      </w:r>
    </w:p>
    <w:p>
      <w:pPr>
        <w:pStyle w:val="ListParagraph"/>
        <w:numPr>
          <w:ilvl w:val="0"/>
          <w:numId w:val="2"/>
        </w:numPr>
        <w:spacing w:after="60"/>
      </w:pPr>
      <w:r>
        <w:rPr>
          <w:rFonts w:ascii="Calibri" w:cs="Calibri" w:eastAsia="Calibri" w:hAnsi="Calibri"/>
          <w:sz w:val="22"/>
          <w:szCs w:val="22"/>
        </w:rPr>
        <w:t xml:space="preserve">Applicants with GPA &lt;3.75: 7 interviewed, 1 accepted (2024); 1 interviewed, 0 accepted (2025).</w:t>
      </w:r>
    </w:p>
    <w:p>
      <w:pPr>
        <w:pStyle w:val="ListParagraph"/>
        <w:numPr>
          <w:ilvl w:val="0"/>
          <w:numId w:val="2"/>
        </w:numPr>
        <w:spacing w:after="60"/>
      </w:pPr>
      <w:r>
        <w:rPr>
          <w:rFonts w:ascii="Calibri" w:cs="Calibri" w:eastAsia="Calibri" w:hAnsi="Calibri"/>
          <w:sz w:val="22"/>
          <w:szCs w:val="22"/>
        </w:rPr>
        <w:t xml:space="preserve">ACT range — interviewed: 28–36 / 30–36 (2024); 33–36 (2025). Accepted: 33–36 (both years). Applicants with ACT &lt;33: 2 accepted (2024); 0 accepted (2025).</w:t>
      </w:r>
    </w:p>
    <w:p>
      <w:pPr>
        <w:pStyle w:val="ListParagraph"/>
        <w:numPr>
          <w:ilvl w:val="0"/>
          <w:numId w:val="2"/>
        </w:numPr>
        <w:spacing w:after="60"/>
      </w:pPr>
      <w:r>
        <w:rPr>
          <w:rFonts w:ascii="Calibri" w:cs="Calibri" w:eastAsia="Calibri" w:hAnsi="Calibri"/>
          <w:sz w:val="22"/>
          <w:szCs w:val="22"/>
        </w:rPr>
        <w:t xml:space="preserve">SAT range — each year, 1 person accepted with SAT &lt;1400.</w:t>
      </w:r>
    </w:p>
    <w:p>
      <w:pPr>
        <w:pStyle w:val="Heading3"/>
      </w:pPr>
      <w:r>
        <w:rPr>
          <w:rFonts w:ascii="Calibri" w:cs="Calibri" w:eastAsia="Calibri" w:hAnsi="Calibri"/>
        </w:rPr>
        <w:t xml:space="preserve">Student Outcomes Data Context</w:t>
      </w:r>
    </w:p>
    <w:p>
      <w:pPr>
        <w:spacing w:after="120"/>
      </w:pPr>
      <w:r>
        <w:rPr>
          <w:rFonts w:ascii="Calibri" w:cs="Calibri" w:eastAsia="Calibri" w:hAnsi="Calibri"/>
          <w:sz w:val="22"/>
          <w:szCs w:val="22"/>
        </w:rPr>
        <w:t xml:space="preserve">The Admissions team is working closely with Student Affairs to identify markers in admissions that may signal a need for additional support. Outcomes data is complicated by: incoming metrics and attributes contributing to discussion; the curriculum has changed substantially (most outcomes data is from students in the legacy curriculum, with students in Ascend now just entering Phase 2); and the summer enrichment program was sunset with Ascend. Definitions of “struggle” and “success” are not always as clear as one thinks. With Ascend now starting to produce outcomes data, this is the right time to look at predictive markers.</w:t>
      </w:r>
    </w:p>
    <w:p>
      <w:pPr>
        <w:pStyle w:val="Heading3"/>
      </w:pPr>
      <w:r>
        <w:rPr>
          <w:rFonts w:ascii="Calibri" w:cs="Calibri" w:eastAsia="Calibri" w:hAnsi="Calibri"/>
        </w:rPr>
        <w:t xml:space="preserve">Proposed Changes</w:t>
      </w:r>
    </w:p>
    <w:p>
      <w:pPr>
        <w:pStyle w:val="ListParagraph"/>
        <w:numPr>
          <w:ilvl w:val="0"/>
          <w:numId w:val="2"/>
        </w:numPr>
        <w:spacing w:after="60"/>
      </w:pPr>
      <w:r>
        <w:rPr>
          <w:rFonts w:ascii="Calibri" w:cs="Calibri" w:eastAsia="Calibri" w:hAnsi="Calibri"/>
          <w:sz w:val="22"/>
          <w:szCs w:val="22"/>
        </w:rPr>
        <w:t xml:space="preserve">Strong preference for standardized testing in the application.</w:t>
      </w:r>
    </w:p>
    <w:p>
      <w:pPr>
        <w:pStyle w:val="ListParagraph"/>
        <w:numPr>
          <w:ilvl w:val="0"/>
          <w:numId w:val="2"/>
        </w:numPr>
        <w:spacing w:after="60"/>
      </w:pPr>
      <w:r>
        <w:rPr>
          <w:rFonts w:ascii="Calibri" w:cs="Calibri" w:eastAsia="Calibri" w:hAnsi="Calibri"/>
          <w:sz w:val="22"/>
          <w:szCs w:val="22"/>
        </w:rPr>
        <w:t xml:space="preserve">GPA ≥3.6 to apply for early assurance programs.</w:t>
      </w:r>
    </w:p>
    <w:p>
      <w:pPr>
        <w:pStyle w:val="ListParagraph"/>
        <w:numPr>
          <w:ilvl w:val="0"/>
          <w:numId w:val="2"/>
        </w:numPr>
        <w:spacing w:after="60"/>
      </w:pPr>
      <w:r>
        <w:rPr>
          <w:rFonts w:ascii="Calibri" w:cs="Calibri" w:eastAsia="Calibri" w:hAnsi="Calibri"/>
          <w:sz w:val="22"/>
          <w:szCs w:val="22"/>
        </w:rPr>
        <w:t xml:space="preserve">Science GPA and total GPA ≥3.75 to matriculate, applicable across all early assurance programs (including the military pathway).</w:t>
      </w:r>
    </w:p>
    <w:p>
      <w:pPr>
        <w:pStyle w:val="ListParagraph"/>
        <w:numPr>
          <w:ilvl w:val="0"/>
          <w:numId w:val="2"/>
        </w:numPr>
        <w:spacing w:after="60"/>
      </w:pPr>
      <w:r>
        <w:rPr>
          <w:rFonts w:ascii="Calibri" w:cs="Calibri" w:eastAsia="Calibri" w:hAnsi="Calibri"/>
          <w:sz w:val="22"/>
          <w:szCs w:val="22"/>
        </w:rPr>
        <w:t xml:space="preserve">Updated agreement language: failure to meet these requirements may result in remediation, additional coursework, enhanced academic support, delayed matriculation, or rescinding of the offer of acceptance — allowing a range of corrective measures rather than immediate dismissal, while preserving institutional teeth in conversations with at-risk accepted students.</w:t>
      </w:r>
    </w:p>
    <w:p>
      <w:pPr>
        <w:pStyle w:val="Heading3"/>
      </w:pPr>
      <w:r>
        <w:rPr>
          <w:rFonts w:ascii="Calibri" w:cs="Calibri" w:eastAsia="Calibri" w:hAnsi="Calibri"/>
        </w:rPr>
        <w:t xml:space="preserve">Member Discussion</w:t>
      </w:r>
    </w:p>
    <w:p>
      <w:pPr>
        <w:spacing w:after="120"/>
      </w:pPr>
      <w:r>
        <w:rPr>
          <w:rFonts w:ascii="Calibri" w:cs="Calibri" w:eastAsia="Calibri" w:hAnsi="Calibri"/>
          <w:sz w:val="22"/>
          <w:szCs w:val="22"/>
        </w:rPr>
        <w:t xml:space="preserve">No questions were raised on the record.</w:t>
      </w:r>
    </w:p>
    <w:p>
      <w:pPr>
        <w:pStyle w:val="Heading3"/>
      </w:pPr>
      <w:r>
        <w:rPr>
          <w:rFonts w:ascii="Calibri" w:cs="Calibri" w:eastAsia="Calibri" w:hAnsi="Calibri"/>
        </w:rPr>
        <w:t xml:space="preserve">Outcome and Next Steps</w:t>
      </w:r>
    </w:p>
    <w:p>
      <w:pPr>
        <w:spacing w:after="120"/>
      </w:pPr>
      <w:r>
        <w:rPr>
          <w:rFonts w:ascii="Calibri" w:cs="Calibri" w:eastAsia="Calibri" w:hAnsi="Calibri"/>
          <w:sz w:val="22"/>
          <w:szCs w:val="22"/>
        </w:rPr>
        <w:t xml:space="preserve">Received and reviewed. Approved by the Selection Subcommittee of the Admissions Committee; presented to the EEC as informational, in keeping with the close collaboration between Admissions, Student Affairs, MD-PhD Admissions, and Curricular Affairs. The committee will continue to look at outcomes data as Ascend produces full-cycle data.</w:t>
      </w:r>
    </w:p>
    <w:p>
      <w:pPr>
        <w:pStyle w:val="Heading1"/>
      </w:pPr>
      <w:r>
        <w:rPr>
          <w:rFonts w:ascii="Calibri" w:cs="Calibri" w:eastAsia="Calibri" w:hAnsi="Calibri"/>
        </w:rPr>
        <w:t xml:space="preserve">7. Summary of Action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700"/>
        <w:gridCol w:w="1500"/>
        <w:gridCol w:w="1900"/>
        <w:gridCol w:w="1560"/>
      </w:tblGrid>
      <w:tr>
        <w:trPr>
          <w:tblHeader/>
        </w:trPr>
        <w:tc>
          <w:tcPr>
            <w:tcW w:type="dxa" w:w="2700"/>
            <w:tcBorders>
              <w:top w:val="single" w:color="B0B0B0" w:sz="4"/>
              <w:left w:val="single" w:color="B0B0B0" w:sz="4"/>
              <w:bottom w:val="single" w:color="B0B0B0" w:sz="4"/>
              <w:right w:val="single" w:color="B0B0B0" w:sz="4"/>
            </w:tcBorders>
            <w:shd w:fill="1F3864" w:val="clear"/>
            <w:tcMar>
              <w:top w:type="dxa" w:w="100"/>
              <w:left w:type="dxa" w:w="140"/>
              <w:bottom w:type="dxa" w:w="100"/>
              <w:right w:type="dxa" w:w="140"/>
            </w:tcMar>
          </w:tcPr>
          <w:p>
            <w:r>
              <w:rPr>
                <w:rFonts w:ascii="Calibri" w:cs="Calibri" w:eastAsia="Calibri" w:hAnsi="Calibri"/>
                <w:b/>
                <w:bCs/>
                <w:color w:val="FFFFFF"/>
                <w:sz w:val="20"/>
                <w:szCs w:val="20"/>
              </w:rPr>
              <w:t xml:space="preserve">Action Item</w:t>
            </w:r>
          </w:p>
        </w:tc>
        <w:tc>
          <w:tcPr>
            <w:tcW w:type="dxa" w:w="1700"/>
            <w:tcBorders>
              <w:top w:val="single" w:color="B0B0B0" w:sz="4"/>
              <w:left w:val="single" w:color="B0B0B0" w:sz="4"/>
              <w:bottom w:val="single" w:color="B0B0B0" w:sz="4"/>
              <w:right w:val="single" w:color="B0B0B0" w:sz="4"/>
            </w:tcBorders>
            <w:shd w:fill="1F3864" w:val="clear"/>
            <w:tcMar>
              <w:top w:type="dxa" w:w="100"/>
              <w:left w:type="dxa" w:w="140"/>
              <w:bottom w:type="dxa" w:w="100"/>
              <w:right w:type="dxa" w:w="140"/>
            </w:tcMar>
          </w:tcPr>
          <w:p>
            <w:r>
              <w:rPr>
                <w:rFonts w:ascii="Calibri" w:cs="Calibri" w:eastAsia="Calibri" w:hAnsi="Calibri"/>
                <w:b/>
                <w:bCs/>
                <w:color w:val="FFFFFF"/>
                <w:sz w:val="20"/>
                <w:szCs w:val="20"/>
              </w:rPr>
              <w:t xml:space="preserve">Responsible Party</w:t>
            </w:r>
          </w:p>
        </w:tc>
        <w:tc>
          <w:tcPr>
            <w:tcW w:type="dxa" w:w="1500"/>
            <w:tcBorders>
              <w:top w:val="single" w:color="B0B0B0" w:sz="4"/>
              <w:left w:val="single" w:color="B0B0B0" w:sz="4"/>
              <w:bottom w:val="single" w:color="B0B0B0" w:sz="4"/>
              <w:right w:val="single" w:color="B0B0B0" w:sz="4"/>
            </w:tcBorders>
            <w:shd w:fill="1F3864" w:val="clear"/>
            <w:tcMar>
              <w:top w:type="dxa" w:w="100"/>
              <w:left w:type="dxa" w:w="140"/>
              <w:bottom w:type="dxa" w:w="100"/>
              <w:right w:type="dxa" w:w="140"/>
            </w:tcMar>
          </w:tcPr>
          <w:p>
            <w:r>
              <w:rPr>
                <w:rFonts w:ascii="Calibri" w:cs="Calibri" w:eastAsia="Calibri" w:hAnsi="Calibri"/>
                <w:b/>
                <w:bCs/>
                <w:color w:val="FFFFFF"/>
                <w:sz w:val="20"/>
                <w:szCs w:val="20"/>
              </w:rPr>
              <w:t xml:space="preserve">Target Completion</w:t>
            </w:r>
          </w:p>
        </w:tc>
        <w:tc>
          <w:tcPr>
            <w:tcW w:type="dxa" w:w="1900"/>
            <w:tcBorders>
              <w:top w:val="single" w:color="B0B0B0" w:sz="4"/>
              <w:left w:val="single" w:color="B0B0B0" w:sz="4"/>
              <w:bottom w:val="single" w:color="B0B0B0" w:sz="4"/>
              <w:right w:val="single" w:color="B0B0B0" w:sz="4"/>
            </w:tcBorders>
            <w:shd w:fill="1F3864" w:val="clear"/>
            <w:tcMar>
              <w:top w:type="dxa" w:w="100"/>
              <w:left w:type="dxa" w:w="140"/>
              <w:bottom w:type="dxa" w:w="100"/>
              <w:right w:type="dxa" w:w="140"/>
            </w:tcMar>
          </w:tcPr>
          <w:p>
            <w:r>
              <w:rPr>
                <w:rFonts w:ascii="Calibri" w:cs="Calibri" w:eastAsia="Calibri" w:hAnsi="Calibri"/>
                <w:b/>
                <w:bCs/>
                <w:color w:val="FFFFFF"/>
                <w:sz w:val="20"/>
                <w:szCs w:val="20"/>
              </w:rPr>
              <w:t xml:space="preserve">EEC Follow-Up Date</w:t>
            </w:r>
          </w:p>
        </w:tc>
        <w:tc>
          <w:tcPr>
            <w:tcW w:type="dxa" w:w="1560"/>
            <w:tcBorders>
              <w:top w:val="single" w:color="B0B0B0" w:sz="4"/>
              <w:left w:val="single" w:color="B0B0B0" w:sz="4"/>
              <w:bottom w:val="single" w:color="B0B0B0" w:sz="4"/>
              <w:right w:val="single" w:color="B0B0B0" w:sz="4"/>
            </w:tcBorders>
            <w:shd w:fill="1F3864" w:val="clear"/>
            <w:tcMar>
              <w:top w:type="dxa" w:w="100"/>
              <w:left w:type="dxa" w:w="140"/>
              <w:bottom w:type="dxa" w:w="100"/>
              <w:right w:type="dxa" w:w="140"/>
            </w:tcMar>
          </w:tcPr>
          <w:p>
            <w:r>
              <w:rPr>
                <w:rFonts w:ascii="Calibri" w:cs="Calibri" w:eastAsia="Calibri" w:hAnsi="Calibri"/>
                <w:b/>
                <w:bCs/>
                <w:color w:val="FFFFFF"/>
                <w:sz w:val="20"/>
                <w:szCs w:val="20"/>
              </w:rPr>
              <w:t xml:space="preserve">LCME Element</w:t>
            </w:r>
          </w:p>
        </w:tc>
      </w:tr>
      <w:tr>
        <w:tc>
          <w:tcPr>
            <w:tcW w:type="dxa" w:w="2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Implement the Renal module action plan: reposition renal to the last module of Year 1 in AY 2026–27; reposition toxicology to the new end-of-year module; coordinate adrenal / parathyroid physiology gap with endocrine; CCSG / lab adjustments per holiday-shortened block; emphasize AKI / commonly seen topics; address AMBOSS searching support.</w:t>
            </w:r>
          </w:p>
        </w:tc>
        <w:tc>
          <w:tcPr>
            <w:tcW w:type="dxa" w:w="1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PCCS; T. Kim, MD; M. Scamagas, MD; S. Leisman, MD</w:t>
            </w:r>
          </w:p>
        </w:tc>
        <w:tc>
          <w:tcPr>
            <w:tcW w:type="dxa" w:w="15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AY 2026–27 cycle</w:t>
            </w:r>
          </w:p>
        </w:tc>
        <w:tc>
          <w:tcPr>
            <w:tcW w:type="dxa" w:w="19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Annual Renal review at the corresponding meeting in academic year 2026–27.</w:t>
            </w:r>
          </w:p>
        </w:tc>
        <w:tc>
          <w:tcPr>
            <w:tcW w:type="dxa" w:w="15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8.3 / 8.7 / 9.4 / 9.7</w:t>
            </w:r>
          </w:p>
        </w:tc>
      </w:tr>
      <w:tr>
        <w:tc>
          <w:tcPr>
            <w:tcW w:type="dxa" w:w="2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Disseminate Dr. Kim’s repetition / scaffolding via consistent diagrams as an innovation across modules — connect slides between modules so foundational concepts reappear in later organ-system modules (e.g., McG / Immunology slides reused in Hematology).</w:t>
            </w:r>
          </w:p>
        </w:tc>
        <w:tc>
          <w:tcPr>
            <w:tcW w:type="dxa" w:w="1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S. Leisman, MD; module directors</w:t>
            </w:r>
          </w:p>
        </w:tc>
        <w:tc>
          <w:tcPr>
            <w:tcW w:type="dxa" w:w="15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Ongoing across module annual reviews</w:t>
            </w:r>
          </w:p>
        </w:tc>
        <w:tc>
          <w:tcPr>
            <w:tcW w:type="dxa" w:w="19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PCCS dissemination updates at quarterly intervals.</w:t>
            </w:r>
          </w:p>
        </w:tc>
        <w:tc>
          <w:tcPr>
            <w:tcW w:type="dxa" w:w="15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8.3</w:t>
            </w:r>
          </w:p>
        </w:tc>
      </w:tr>
      <w:tr>
        <w:tc>
          <w:tcPr>
            <w:tcW w:type="dxa" w:w="2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Implement the new Phase 1 module schedule for AY 2026–27: Semester 1 unchanged; Semester 2 = Neuroscience, Behavioral Science, Cardiovascular, Pulmonary, Renal; Semester 3 = Hematology, Endocrine, SRH, GI, MSK. Summer pushes back by one week.</w:t>
            </w:r>
          </w:p>
        </w:tc>
        <w:tc>
          <w:tcPr>
            <w:tcW w:type="dxa" w:w="1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PCCS; module directors; S. Anand, MEd; Office of Curricular Affairs</w:t>
            </w:r>
          </w:p>
        </w:tc>
        <w:tc>
          <w:tcPr>
            <w:tcW w:type="dxa" w:w="15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AY 2026–27 cycle</w:t>
            </w:r>
          </w:p>
        </w:tc>
        <w:tc>
          <w:tcPr>
            <w:tcW w:type="dxa" w:w="19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Confirmed at the EEC meetings reviewing AY 2026–27 academic calendar; continued through the year.</w:t>
            </w:r>
          </w:p>
        </w:tc>
        <w:tc>
          <w:tcPr>
            <w:tcW w:type="dxa" w:w="15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8.3 / 8.7</w:t>
            </w:r>
          </w:p>
        </w:tc>
      </w:tr>
      <w:tr>
        <w:tc>
          <w:tcPr>
            <w:tcW w:type="dxa" w:w="2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Develop guidance for M1 students that the ISA / ASQ access-question is applicable to their course-materials access, to reduce NA response rates and ensure agreement is appropriately captured. Solicit student-committee member feedback on how best to communicate this.</w:t>
            </w:r>
          </w:p>
        </w:tc>
        <w:tc>
          <w:tcPr>
            <w:tcW w:type="dxa" w:w="1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K. Alpi; F. Mbaye; A. Zhang; J. Frost; R. Soriano, MD; B. Masi, PhD</w:t>
            </w:r>
          </w:p>
        </w:tc>
        <w:tc>
          <w:tcPr>
            <w:tcW w:type="dxa" w:w="15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Prior to the next ISA / ASQ deployment</w:t>
            </w:r>
          </w:p>
        </w:tc>
        <w:tc>
          <w:tcPr>
            <w:tcW w:type="dxa" w:w="19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Confirmed at the EEC meeting at which ISA / ASQ launch is reviewed.</w:t>
            </w:r>
          </w:p>
        </w:tc>
        <w:tc>
          <w:tcPr>
            <w:tcW w:type="dxa" w:w="15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5.x / 8.4 / 12.6</w:t>
            </w:r>
          </w:p>
        </w:tc>
      </w:tr>
      <w:tr>
        <w:tc>
          <w:tcPr>
            <w:tcW w:type="dxa" w:w="2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Continue the close collaboration between Admissions, Student Affairs, MD-PhD Admissions, and Curricular Affairs on outcomes data. As Ascend produces full-cycle data, identify markers in admissions that signal a need for support; refine policies as appropriate. Maintain the new GPA / matriculation requirements (3.6 to apply; 3.75 to matriculate) effective for the early assurance programs.</w:t>
            </w:r>
          </w:p>
        </w:tc>
        <w:tc>
          <w:tcPr>
            <w:tcW w:type="dxa" w:w="1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V. Parkas, MD; S. Paik, MD; R. Soriano, MD; T. Swartz, MD-PhD</w:t>
            </w:r>
          </w:p>
        </w:tc>
        <w:tc>
          <w:tcPr>
            <w:tcW w:type="dxa" w:w="15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Ongoing</w:t>
            </w:r>
          </w:p>
        </w:tc>
        <w:tc>
          <w:tcPr>
            <w:tcW w:type="dxa" w:w="19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Mid-cycle review at EEC meetings as data emerges.</w:t>
            </w:r>
          </w:p>
        </w:tc>
        <w:tc>
          <w:tcPr>
            <w:tcW w:type="dxa" w:w="15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10.x / 11.x</w:t>
            </w:r>
          </w:p>
        </w:tc>
      </w:tr>
      <w:tr>
        <w:tc>
          <w:tcPr>
            <w:tcW w:type="dxa" w:w="2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Note: the regularly scheduled March 20, 2026 EEC meeting is canceled because of Match Day. Next EEC meeting is April 3, 2026. Distribute meeting-cancellation notice and April 3 agenda preview through normal channels.</w:t>
            </w:r>
          </w:p>
        </w:tc>
        <w:tc>
          <w:tcPr>
            <w:tcW w:type="dxa" w:w="1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F. Shafiq; S. Anand, MEd</w:t>
            </w:r>
          </w:p>
        </w:tc>
        <w:tc>
          <w:tcPr>
            <w:tcW w:type="dxa" w:w="15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Within one week of this meeting</w:t>
            </w:r>
          </w:p>
        </w:tc>
        <w:tc>
          <w:tcPr>
            <w:tcW w:type="dxa" w:w="19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Confirmed at the April 3, 2026 EEC meeting.</w:t>
            </w:r>
          </w:p>
        </w:tc>
        <w:tc>
          <w:tcPr>
            <w:tcW w:type="dxa" w:w="15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Operational</w:t>
            </w:r>
          </w:p>
        </w:tc>
      </w:tr>
      <w:tr>
        <w:tc>
          <w:tcPr>
            <w:tcW w:type="dxa" w:w="2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Schedule a more formal introduction of Dr. Vannita Simma-Chiang at the next EEC meeting (April 3, 2026).</w:t>
            </w:r>
          </w:p>
        </w:tc>
        <w:tc>
          <w:tcPr>
            <w:tcW w:type="dxa" w:w="1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M. Francis, MD</w:t>
            </w:r>
          </w:p>
        </w:tc>
        <w:tc>
          <w:tcPr>
            <w:tcW w:type="dxa" w:w="15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April 3, 2026 EEC meeting</w:t>
            </w:r>
          </w:p>
        </w:tc>
        <w:tc>
          <w:tcPr>
            <w:tcW w:type="dxa" w:w="19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Confirmed at the April 3, 2026 EEC meeting.</w:t>
            </w:r>
          </w:p>
        </w:tc>
        <w:tc>
          <w:tcPr>
            <w:tcW w:type="dxa" w:w="15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Operational</w:t>
            </w:r>
          </w:p>
        </w:tc>
      </w:tr>
    </w:tbl>
    <w:p>
      <w:r>
        <w:t xml:space="preserve"/>
      </w:r>
    </w:p>
    <w:p>
      <w:pPr>
        <w:pStyle w:val="Heading1"/>
      </w:pPr>
      <w:r>
        <w:rPr>
          <w:rFonts w:ascii="Calibri" w:cs="Calibri" w:eastAsia="Calibri" w:hAnsi="Calibri"/>
        </w:rPr>
        <w:t xml:space="preserve">8. Next Meeting and Adjournment</w:t>
      </w:r>
    </w:p>
    <w:p>
      <w:pPr>
        <w:spacing w:after="120"/>
      </w:pPr>
      <w:r>
        <w:rPr>
          <w:rFonts w:ascii="Calibri" w:cs="Calibri" w:eastAsia="Calibri" w:hAnsi="Calibri"/>
          <w:b/>
          <w:bCs/>
          <w:sz w:val="22"/>
          <w:szCs w:val="22"/>
        </w:rPr>
        <w:t xml:space="preserve">Adjournment: </w:t>
      </w:r>
      <w:r>
        <w:rPr>
          <w:rFonts w:ascii="Calibri" w:cs="Calibri" w:eastAsia="Calibri" w:hAnsi="Calibri"/>
          <w:sz w:val="22"/>
          <w:szCs w:val="22"/>
        </w:rPr>
        <w:t xml:space="preserve">The Chair declared the meeting adjourned at approximately 12:50 p.m. ET, thanking presenters and members for participating.</w:t>
      </w:r>
    </w:p>
    <w:p>
      <w:pPr>
        <w:spacing w:after="120"/>
      </w:pPr>
      <w:r>
        <w:rPr>
          <w:rFonts w:ascii="Calibri" w:cs="Calibri" w:eastAsia="Calibri" w:hAnsi="Calibri"/>
          <w:b/>
          <w:bCs/>
          <w:sz w:val="22"/>
          <w:szCs w:val="22"/>
        </w:rPr>
        <w:t xml:space="preserve">Next Scheduled Meeting: </w:t>
      </w:r>
      <w:r>
        <w:rPr>
          <w:rFonts w:ascii="Calibri" w:cs="Calibri" w:eastAsia="Calibri" w:hAnsi="Calibri"/>
          <w:sz w:val="22"/>
          <w:szCs w:val="22"/>
        </w:rPr>
        <w:t xml:space="preserve">April 3, 2026. (The regularly scheduled March 20, 2026 meeting is canceled because of Match Day; communication will be distributed to all members.)</w:t>
      </w:r>
    </w:p>
    <w:p>
      <w:pPr>
        <w:pStyle w:val="Heading1"/>
      </w:pPr>
      <w:r>
        <w:rPr>
          <w:rFonts w:ascii="Calibri" w:cs="Calibri" w:eastAsia="Calibri" w:hAnsi="Calibri"/>
        </w:rPr>
        <w:t xml:space="preserve">9. Attestation</w:t>
      </w:r>
    </w:p>
    <w:p>
      <w:pPr>
        <w:spacing w:after="120"/>
      </w:pPr>
      <w:r>
        <w:rPr>
          <w:rFonts w:ascii="Calibri" w:cs="Calibri" w:eastAsia="Calibri" w:hAnsi="Calibri"/>
          <w:sz w:val="22"/>
          <w:szCs w:val="22"/>
        </w:rPr>
        <w:t xml:space="preserve">These minutes are submitted as an accurate record of the proceedings of the Educational Executive Committee on March 6, 2026. Minutes are prepared in alignment with LCME Element 8.1 documentation expectations and are subject to formal approval by the EEC at its next regular meeting.</w:t>
      </w:r>
    </w:p>
    <w:p>
      <w:r>
        <w:t xml:space="preserve"/>
      </w:r>
    </w:p>
    <w:p>
      <w:pPr>
        <w:spacing w:after="120"/>
      </w:pPr>
      <w:r>
        <w:rPr>
          <w:rFonts w:ascii="Calibri" w:cs="Calibri" w:eastAsia="Calibri" w:hAnsi="Calibri"/>
          <w:b/>
          <w:bCs/>
          <w:sz w:val="22"/>
          <w:szCs w:val="22"/>
        </w:rPr>
        <w:t xml:space="preserve">Submitted by: </w:t>
      </w:r>
      <w:r>
        <w:rPr>
          <w:rFonts w:ascii="Calibri" w:cs="Calibri" w:eastAsia="Calibri" w:hAnsi="Calibri"/>
          <w:sz w:val="22"/>
          <w:szCs w:val="22"/>
        </w:rPr>
        <w:t xml:space="preserve">________________________________________</w:t>
      </w:r>
    </w:p>
    <w:p>
      <w:pPr>
        <w:spacing w:after="120"/>
        <w:rPr>
          <w:i/>
          <w:iCs/>
          <w:color w:val="555555"/>
          <w:sz w:val="20"/>
          <w:szCs w:val="20"/>
        </w:rPr>
      </w:pPr>
      <w:r>
        <w:rPr>
          <w:rFonts w:ascii="Calibri" w:cs="Calibri" w:eastAsia="Calibri" w:hAnsi="Calibri"/>
          <w:i/>
          <w:iCs/>
          <w:color w:val="555555"/>
          <w:sz w:val="20"/>
          <w:szCs w:val="20"/>
        </w:rPr>
        <w:t xml:space="preserve">Recording Secretary, Educational Executive Committee</w:t>
      </w:r>
    </w:p>
    <w:p>
      <w:r>
        <w:t xml:space="preserve"/>
      </w:r>
    </w:p>
    <w:p>
      <w:pPr>
        <w:spacing w:after="120"/>
      </w:pPr>
      <w:r>
        <w:rPr>
          <w:rFonts w:ascii="Calibri" w:cs="Calibri" w:eastAsia="Calibri" w:hAnsi="Calibri"/>
          <w:b/>
          <w:bCs/>
          <w:sz w:val="22"/>
          <w:szCs w:val="22"/>
        </w:rPr>
        <w:t xml:space="preserve">Approved by: </w:t>
      </w:r>
      <w:r>
        <w:rPr>
          <w:rFonts w:ascii="Calibri" w:cs="Calibri" w:eastAsia="Calibri" w:hAnsi="Calibri"/>
          <w:sz w:val="22"/>
          <w:szCs w:val="22"/>
        </w:rPr>
        <w:t xml:space="preserve">________________________________________</w:t>
      </w:r>
    </w:p>
    <w:p>
      <w:pPr>
        <w:spacing w:after="120"/>
        <w:rPr>
          <w:i/>
          <w:iCs/>
          <w:color w:val="555555"/>
          <w:sz w:val="20"/>
          <w:szCs w:val="20"/>
        </w:rPr>
      </w:pPr>
      <w:r>
        <w:rPr>
          <w:rFonts w:ascii="Calibri" w:cs="Calibri" w:eastAsia="Calibri" w:hAnsi="Calibri"/>
          <w:i/>
          <w:iCs/>
          <w:color w:val="555555"/>
          <w:sz w:val="20"/>
          <w:szCs w:val="20"/>
        </w:rPr>
        <w:t xml:space="preserve">Michelle Francis, MD — Chair, Educational Executive Committee</w:t>
      </w:r>
    </w:p>
    <w:p>
      <w:r>
        <w:t xml:space="preserve"/>
      </w:r>
    </w:p>
    <w:p>
      <w:pPr>
        <w:spacing w:after="120"/>
      </w:pPr>
      <w:r>
        <w:rPr>
          <w:rFonts w:ascii="Calibri" w:cs="Calibri" w:eastAsia="Calibri" w:hAnsi="Calibri"/>
          <w:b/>
          <w:bCs/>
          <w:sz w:val="22"/>
          <w:szCs w:val="22"/>
        </w:rPr>
        <w:t xml:space="preserve">Date of Approval: </w:t>
      </w:r>
      <w:r>
        <w:rPr>
          <w:rFonts w:ascii="Calibri" w:cs="Calibri" w:eastAsia="Calibri" w:hAnsi="Calibri"/>
          <w:sz w:val="22"/>
          <w:szCs w:val="22"/>
        </w:rPr>
        <w:t xml:space="preserve">____________________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8"/>
        <w:szCs w:val="18"/>
      </w:rPr>
      <w:t xml:space="preserve">Page </w:t>
    </w:r>
    <w:r>
      <w:rPr>
        <w:rFonts w:ascii="Calibri" w:cs="Calibri" w:eastAsia="Calibri" w:hAnsi="Calibri"/>
        <w:color w:val="555555"/>
        <w:sz w:val="18"/>
        <w:szCs w:val="18"/>
      </w:rPr>
      <w:fldChar w:fldCharType="begin"/>
      <w:instrText xml:space="preserve">PAGE</w:instrText>
      <w:fldChar w:fldCharType="separate"/>
      <w:fldChar w:fldCharType="end"/>
    </w:r>
    <w:r>
      <w:rPr>
        <w:rFonts w:ascii="Calibri" w:cs="Calibri" w:eastAsia="Calibri" w:hAnsi="Calibri"/>
        <w:color w:val="555555"/>
        <w:sz w:val="18"/>
        <w:szCs w:val="18"/>
      </w:rPr>
      <w:t xml:space="preserve"> of </w:t>
    </w:r>
    <w:r>
      <w:rPr>
        <w:rFonts w:ascii="Calibri" w:cs="Calibri" w:eastAsia="Calibri" w:hAnsi="Calibri"/>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08080" w:sz="4" w:space="4"/>
      </w:pBdr>
      <w:jc w:val="right"/>
    </w:pPr>
    <w:r>
      <w:rPr>
        <w:rFonts w:ascii="Calibri" w:cs="Calibri" w:eastAsia="Calibri" w:hAnsi="Calibri"/>
        <w:i/>
        <w:iCs/>
        <w:color w:val="555555"/>
        <w:sz w:val="18"/>
        <w:szCs w:val="18"/>
      </w:rPr>
      <w:t xml:space="preserve">EEC Meeting Minutes — March 6,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A5F" w:sz="8" w:space="4"/>
      </w:pBdr>
      <w:spacing w:after="160" w:before="320"/>
      <w:outlineLvl w:val="0"/>
    </w:pPr>
    <w:rPr>
      <w:rFonts w:ascii="Calibri" w:cs="Calibri" w:eastAsia="Calibri" w:hAnsi="Calibri"/>
      <w:b/>
      <w:bCs/>
      <w:color w:val="1F3A5F"/>
      <w:sz w:val="28"/>
      <w:szCs w:val="28"/>
    </w:rPr>
  </w:style>
  <w:style w:type="paragraph" w:styleId="Heading2">
    <w:name w:val="Heading 2"/>
    <w:basedOn w:val="Normal"/>
    <w:next w:val="Normal"/>
    <w:qFormat/>
    <w:pPr>
      <w:spacing w:after="120" w:before="240"/>
      <w:outlineLvl w:val="1"/>
    </w:pPr>
    <w:rPr>
      <w:rFonts w:ascii="Calibri" w:cs="Calibri" w:eastAsia="Calibri" w:hAnsi="Calibri"/>
      <w:b/>
      <w:bCs/>
      <w:color w:val="2E5984"/>
      <w:sz w:val="26"/>
      <w:szCs w:val="26"/>
    </w:rPr>
  </w:style>
  <w:style w:type="paragraph" w:styleId="Heading3">
    <w:name w:val="Heading 3"/>
    <w:basedOn w:val="Normal"/>
    <w:next w:val="Normal"/>
    <w:qFormat/>
    <w:pPr>
      <w:spacing w:after="80" w:before="180"/>
      <w:outlineLvl w:val="2"/>
    </w:pPr>
    <w:rPr>
      <w:rFonts w:ascii="Calibri" w:cs="Calibri" w:eastAsia="Calibri" w:hAnsi="Calibri"/>
      <w:b/>
      <w:bCs/>
      <w:i/>
      <w:iCs/>
      <w:color w:val="404040"/>
      <w:sz w:val="23"/>
      <w:szCs w:val="23"/>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customXml" Target="../customXml/item1.xml"/><Relationship Id="rId4" Type="http://schemas.openxmlformats.org/officeDocument/2006/relationships/endnotes" Target="endnotes.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3855B5B86197545A18D1773FC71E1C4" ma:contentTypeVersion="20" ma:contentTypeDescription="Create a new document." ma:contentTypeScope="" ma:versionID="1b26227c08e59efcf67394fdaa55d396">
  <xsd:schema xmlns:xsd="http://www.w3.org/2001/XMLSchema" xmlns:xs="http://www.w3.org/2001/XMLSchema" xmlns:p="http://schemas.microsoft.com/office/2006/metadata/properties" xmlns:ns2="55eb2ba9-3de1-4d48-8b9c-c1d7ac8ff3bc" xmlns:ns3="a359d38c-03c6-459d-a473-f991f5aa9a03" targetNamespace="http://schemas.microsoft.com/office/2006/metadata/properties" ma:root="true" ma:fieldsID="f9fa70aff8846d20c1ab81c35c4d99c7" ns2:_="" ns3:_="">
    <xsd:import namespace="55eb2ba9-3de1-4d48-8b9c-c1d7ac8ff3bc"/>
    <xsd:import namespace="a359d38c-03c6-459d-a473-f991f5aa9a0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lcf76f155ced4ddcb4097134ff3c332f" minOccurs="0"/>
                <xsd:element ref="ns3:TaxCatchAll" minOccurs="0"/>
                <xsd:element ref="ns2:MediaServiceLocation" minOccurs="0"/>
                <xsd:element ref="ns2:LINK"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eb2ba9-3de1-4d48-8b9c-c1d7ac8ff3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f4f72d08-3d4d-4fd0-a57a-1f5ef5c7b471"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LINK" ma:index="24" nillable="true" ma:displayName="LINK" ma:format="Hyperlink" ma:internalName="LINK">
      <xsd:complexType>
        <xsd:complexContent>
          <xsd:extension base="dms:URL">
            <xsd:sequence>
              <xsd:element name="Url" type="dms:ValidUrl" minOccurs="0" nillable="true"/>
              <xsd:element name="Description" type="xsd:string" nillable="true"/>
            </xsd:sequence>
          </xsd:extension>
        </xsd:complexContent>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359d38c-03c6-459d-a473-f991f5aa9a03"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139b27d-eec1-4b7d-91eb-dd17d33048f1}" ma:internalName="TaxCatchAll" ma:showField="CatchAllData" ma:web="a359d38c-03c6-459d-a473-f991f5aa9a0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INK xmlns="55eb2ba9-3de1-4d48-8b9c-c1d7ac8ff3bc">
      <Url xsi:nil="true"/>
      <Description xsi:nil="true"/>
    </LINK>
    <lcf76f155ced4ddcb4097134ff3c332f xmlns="55eb2ba9-3de1-4d48-8b9c-c1d7ac8ff3bc">
      <Terms xmlns="http://schemas.microsoft.com/office/infopath/2007/PartnerControls"/>
    </lcf76f155ced4ddcb4097134ff3c332f>
    <TaxCatchAll xmlns="a359d38c-03c6-459d-a473-f991f5aa9a03" xsi:nil="true"/>
  </documentManagement>
</p:properties>
</file>

<file path=customXml/itemProps1.xml><?xml version="1.0" encoding="utf-8"?>
<ds:datastoreItem xmlns:ds="http://schemas.openxmlformats.org/officeDocument/2006/customXml" ds:itemID="{EDCEFECA-36FF-4845-B37C-3274E5332E79}"/>
</file>

<file path=customXml/itemProps2.xml><?xml version="1.0" encoding="utf-8"?>
<ds:datastoreItem xmlns:ds="http://schemas.openxmlformats.org/officeDocument/2006/customXml" ds:itemID="{6198F582-F52C-4FD3-B842-A2C9B8417ED4}"/>
</file>

<file path=customXml/itemProps3.xml><?xml version="1.0" encoding="utf-8"?>
<ds:datastoreItem xmlns:ds="http://schemas.openxmlformats.org/officeDocument/2006/customXml" ds:itemID="{F70551F8-E65C-4A0D-828C-C183E0DD84F5}"/>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EEC Minutes — March 6, 2026</dc:title>
  <dc:creator>Educational Executive Committee</dc:creator>
  <cp:lastModifiedBy>Un-named</cp:lastModifiedBy>
  <cp:revision>1</cp:revision>
  <dcterms:created xsi:type="dcterms:W3CDTF">2026-05-09T08:24:45Z</dcterms:created>
  <dcterms:modified xsi:type="dcterms:W3CDTF">2026-05-09T08:24:45Z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0x010100A3855B5B86197545A18D1773FC71E1C4</vt:lpwstr>
  </property>
</Properties>
</file>