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A5F"/>
          <w:sz w:val="44"/>
          <w:szCs w:val="44"/>
        </w:rPr>
        <w:t xml:space="preserve">EXECUTIVE OVERSIGHT COMMITTEE (EOC)</w:t>
      </w:r>
    </w:p>
    <w:p>
      <w:pPr>
        <w:spacing w:after="120" w:before="0"/>
        <w:jc w:val="center"/>
      </w:pPr>
      <w:r>
        <w:rPr>
          <w:rFonts w:ascii="Calibri" w:cs="Calibri" w:eastAsia="Calibri" w:hAnsi="Calibri"/>
          <w:b/>
          <w:bCs/>
          <w:color w:val="1F3A5F"/>
          <w:sz w:val="44"/>
          <w:szCs w:val="44"/>
        </w:rPr>
        <w:t xml:space="preserve">MEETING MINUTES</w:t>
      </w:r>
    </w:p>
    <w:p>
      <w:pPr>
        <w:spacing w:after="240" w:before="0"/>
        <w:jc w:val="center"/>
      </w:pPr>
      <w:r>
        <w:rPr>
          <w:rFonts w:ascii="Calibri" w:cs="Calibri" w:eastAsia="Calibri" w:hAnsi="Calibri"/>
          <w:i/>
          <w:iCs/>
          <w:color w:val="404040"/>
          <w:sz w:val="22"/>
          <w:szCs w:val="22"/>
        </w:rPr>
        <w:t xml:space="preserve">Icahn School of Medicine at Mount Sinai  |  July 12, 2024</w:t>
      </w:r>
    </w:p>
    <w:p>
      <w:pPr>
        <w:pBdr>
          <w:top w:val="single" w:color="C00000" w:sz="6" w:space="4"/>
          <w:bottom w:val="single" w:color="C00000" w:sz="6" w:space="4"/>
        </w:pBdr>
        <w:spacing w:after="240" w:before="0"/>
        <w:jc w:val="center"/>
      </w:pPr>
      <w:r>
        <w:rPr>
          <w:rFonts w:ascii="Calibri" w:cs="Calibri" w:eastAsia="Calibri" w:hAnsi="Calibri"/>
          <w:i/>
          <w:iCs/>
          <w:color w:val="C00000"/>
          <w:sz w:val="20"/>
          <w:szCs w:val="20"/>
        </w:rPr>
        <w:t xml:space="preserve">⚠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Committee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Executive Oversight Committee (EOC)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Meeting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Regular Scheduled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July 12, 2024 (Friday)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Approximately 12:00 p.m. – 12:30 p.m. 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Modality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(virtual)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Presiding Officer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Robert Fallar — Acting Chair (Chair, Dr. Michelle Francis, absent); Associate Dean for Assessment and Evaluation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 Secretary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Fatima Shafiq, Project Manager, Curricular Affairs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Quorum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Initially below quorum; reached after late arrivals. See Section 2 for detail.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transcript on file (GMT20240712-160247); reference source for these minutes</w:t>
            </w:r>
          </w:p>
        </w:tc>
      </w:tr>
    </w:tbl>
    <w:p>
      <w:pPr>
        <w:spacing w:after="120" w:before="0" w:line="276"/>
      </w:pPr>
    </w:p>
    <w:p>
      <w:pPr>
        <w:pStyle w:val="Heading1"/>
        <w:pBdr>
          <w:bottom w:val="single" w:color="1F3A5F" w:sz="8" w:space="4"/>
        </w:pBdr>
        <w:spacing w:after="160" w:before="320"/>
      </w:pPr>
      <w:r>
        <w:rPr>
          <w:rFonts w:ascii="Calibri" w:cs="Calibri" w:eastAsia="Calibri" w:hAnsi="Calibri"/>
          <w:b/>
          <w:bCs/>
          <w:color w:val="1F3A5F"/>
          <w:sz w:val="28"/>
          <w:szCs w:val="28"/>
        </w:rPr>
        <w:t xml:space="preserve">1. Attendance</w:t>
      </w:r>
    </w:p>
    <w:p>
      <w:pPr>
        <w:spacing w:after="120" w:before="0" w:line="276"/>
      </w:pPr>
      <w:r>
        <w:rPr>
          <w:rFonts w:ascii="Calibri" w:cs="Calibri" w:eastAsia="Calibri" w:hAnsi="Calibri"/>
          <w:color w:val="404040"/>
          <w:sz w:val="22"/>
          <w:szCs w:val="22"/>
        </w:rPr>
        <w:t xml:space="preserve">Attendance is reported in alignment with LCME Element 8.1 (Curricular Management) documentation expectations.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p>
      <w:pPr>
        <w:pStyle w:val="Heading2"/>
        <w:spacing w:after="120" w:before="240"/>
      </w:pPr>
      <w:r>
        <w:rPr>
          <w:rFonts w:ascii="Calibri" w:cs="Calibri" w:eastAsia="Calibri" w:hAnsi="Calibri"/>
          <w:b/>
          <w:bCs/>
          <w:color w:val="2E5984"/>
          <w:sz w:val="26"/>
          <w:szCs w:val="26"/>
        </w:rPr>
        <w:t xml:space="preserve">Voting Members Present (10)</w:t>
      </w:r>
    </w:p>
    <w:p>
      <w:pPr>
        <w:pStyle w:val="ListParagraph"/>
        <w:numPr>
          <w:ilvl w:val="0"/>
          <w:numId w:val="2"/>
        </w:numPr>
        <w:spacing w:after="40" w:before="0" w:line="276"/>
      </w:pPr>
      <w:r>
        <w:rPr>
          <w:rFonts w:ascii="Calibri" w:cs="Calibri" w:eastAsia="Calibri" w:hAnsi="Calibri"/>
          <w:color w:val="404040"/>
          <w:sz w:val="22"/>
          <w:szCs w:val="22"/>
        </w:rPr>
        <w:t xml:space="preserve">Robert Fallar, PhD — Chair, Assessment and Evaluation Subcommittee</w:t>
      </w:r>
    </w:p>
    <w:p>
      <w:pPr>
        <w:pStyle w:val="ListParagraph"/>
        <w:numPr>
          <w:ilvl w:val="0"/>
          <w:numId w:val="2"/>
        </w:numPr>
        <w:spacing w:after="40" w:before="0" w:line="276"/>
      </w:pPr>
      <w:r>
        <w:rPr>
          <w:rFonts w:ascii="Calibri" w:cs="Calibri" w:eastAsia="Calibri" w:hAnsi="Calibri"/>
          <w:color w:val="404040"/>
          <w:sz w:val="22"/>
          <w:szCs w:val="22"/>
        </w:rPr>
        <w:t xml:space="preserve">Staci Leisman, MD — Chair, Course Directors Subcommittee</w:t>
      </w:r>
    </w:p>
    <w:p>
      <w:pPr>
        <w:pStyle w:val="ListParagraph"/>
        <w:numPr>
          <w:ilvl w:val="0"/>
          <w:numId w:val="2"/>
        </w:numPr>
        <w:spacing w:after="40" w:before="0" w:line="276"/>
      </w:pPr>
      <w:r>
        <w:rPr>
          <w:rFonts w:ascii="Calibri" w:cs="Calibri" w:eastAsia="Calibri" w:hAnsi="Calibri"/>
          <w:color w:val="404040"/>
          <w:sz w:val="22"/>
          <w:szCs w:val="22"/>
        </w:rPr>
        <w:t xml:space="preserve">Mary Rojas, PhD — Chair, Medical Student Research Subcommittee</w:t>
      </w:r>
    </w:p>
    <w:p>
      <w:pPr>
        <w:pStyle w:val="ListParagraph"/>
        <w:numPr>
          <w:ilvl w:val="0"/>
          <w:numId w:val="2"/>
        </w:numPr>
        <w:spacing w:after="40" w:before="0" w:line="276"/>
      </w:pPr>
      <w:r>
        <w:rPr>
          <w:rFonts w:ascii="Calibri" w:cs="Calibri" w:eastAsia="Calibri" w:hAnsi="Calibri"/>
          <w:color w:val="404040"/>
          <w:sz w:val="22"/>
          <w:szCs w:val="22"/>
        </w:rPr>
        <w:t xml:space="preserve">Kris Alpi, PhD — Associate Dean for Libraries &amp; Information Sciences</w:t>
      </w:r>
    </w:p>
    <w:p>
      <w:pPr>
        <w:pStyle w:val="ListParagraph"/>
        <w:numPr>
          <w:ilvl w:val="0"/>
          <w:numId w:val="2"/>
        </w:numPr>
        <w:spacing w:after="40" w:before="0" w:line="276"/>
      </w:pPr>
      <w:r>
        <w:rPr>
          <w:rFonts w:ascii="Calibri" w:cs="Calibri" w:eastAsia="Calibri" w:hAnsi="Calibri"/>
          <w:color w:val="404040"/>
          <w:sz w:val="22"/>
          <w:szCs w:val="22"/>
        </w:rPr>
        <w:t xml:space="preserve">Jamie Frost — Student Representative, M2 (Legacy)</w:t>
      </w:r>
    </w:p>
    <w:p>
      <w:pPr>
        <w:pStyle w:val="ListParagraph"/>
        <w:numPr>
          <w:ilvl w:val="0"/>
          <w:numId w:val="2"/>
        </w:numPr>
        <w:spacing w:after="40" w:before="0" w:line="276"/>
      </w:pPr>
      <w:r>
        <w:rPr>
          <w:rFonts w:ascii="Calibri" w:cs="Calibri" w:eastAsia="Calibri" w:hAnsi="Calibri"/>
          <w:color w:val="404040"/>
          <w:sz w:val="22"/>
          <w:szCs w:val="22"/>
        </w:rPr>
        <w:t xml:space="preserve">Tonia Kim, MD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Teddy Holzer, MD — Chair, Clinical Curriculum Subcommittee</w:t>
      </w:r>
    </w:p>
    <w:p>
      <w:pPr>
        <w:pStyle w:val="ListParagraph"/>
        <w:numPr>
          <w:ilvl w:val="0"/>
          <w:numId w:val="2"/>
        </w:numPr>
        <w:spacing w:after="40" w:before="0" w:line="276"/>
      </w:pPr>
      <w:r>
        <w:rPr>
          <w:rFonts w:ascii="Calibri" w:cs="Calibri" w:eastAsia="Calibri" w:hAnsi="Calibri"/>
          <w:color w:val="404040"/>
          <w:sz w:val="22"/>
          <w:szCs w:val="22"/>
        </w:rPr>
        <w:t xml:space="preserve">Richard Stern, MD — Faculty Educator at Large; Associate Professor – Radiology, Medical Education</w:t>
      </w:r>
    </w:p>
    <w:p>
      <w:pPr>
        <w:pStyle w:val="ListParagraph"/>
        <w:numPr>
          <w:ilvl w:val="0"/>
          <w:numId w:val="2"/>
        </w:numPr>
        <w:spacing w:after="40" w:before="0" w:line="276"/>
      </w:pPr>
      <w:r>
        <w:rPr>
          <w:rFonts w:ascii="Calibri" w:cs="Calibri" w:eastAsia="Calibri" w:hAnsi="Calibri"/>
          <w:color w:val="404040"/>
          <w:sz w:val="22"/>
          <w:szCs w:val="22"/>
        </w:rPr>
        <w:t xml:space="preserve">Jillian Palmer — Director of Student Success and Progression</w:t>
      </w:r>
    </w:p>
    <w:p>
      <w:pPr>
        <w:pStyle w:val="ListParagraph"/>
        <w:numPr>
          <w:ilvl w:val="0"/>
          <w:numId w:val="2"/>
        </w:numPr>
        <w:spacing w:after="40" w:before="0" w:line="276"/>
      </w:pPr>
      <w:r>
        <w:rPr>
          <w:rFonts w:ascii="Calibri" w:cs="Calibri" w:eastAsia="Calibri" w:hAnsi="Calibri"/>
          <w:color w:val="404040"/>
          <w:sz w:val="22"/>
          <w:szCs w:val="22"/>
        </w:rPr>
        <w:t xml:space="preserve">Vasundhara Singh, MD — Chair, Electives Subcommittee</w:t>
      </w:r>
    </w:p>
    <w:p>
      <w:pPr>
        <w:pStyle w:val="Heading2"/>
        <w:spacing w:after="120" w:before="240"/>
      </w:pPr>
      <w:r>
        <w:rPr>
          <w:rFonts w:ascii="Calibri" w:cs="Calibri" w:eastAsia="Calibri" w:hAnsi="Calibri"/>
          <w:b/>
          <w:bCs/>
          <w:color w:val="2E5984"/>
          <w:sz w:val="26"/>
          <w:szCs w:val="26"/>
        </w:rPr>
        <w:t xml:space="preserve">Voting Members Absent (20)</w:t>
      </w:r>
    </w:p>
    <w:p>
      <w:pPr>
        <w:pStyle w:val="ListParagraph"/>
        <w:numPr>
          <w:ilvl w:val="0"/>
          <w:numId w:val="2"/>
        </w:numPr>
        <w:spacing w:after="40" w:before="0" w:line="276"/>
      </w:pPr>
      <w:r>
        <w:rPr>
          <w:rFonts w:ascii="Calibri" w:cs="Calibri" w:eastAsia="Calibri" w:hAnsi="Calibri"/>
          <w:color w:val="404040"/>
          <w:sz w:val="22"/>
          <w:szCs w:val="22"/>
        </w:rPr>
        <w:t xml:space="preserve">Michelle Francis, MD — Chair (presiding); Assistant Professor – OB/GYN</w:t>
      </w:r>
    </w:p>
    <w:p>
      <w:pPr>
        <w:pStyle w:val="ListParagraph"/>
        <w:numPr>
          <w:ilvl w:val="0"/>
          <w:numId w:val="2"/>
        </w:numPr>
        <w:spacing w:after="40" w:before="0" w:line="276"/>
      </w:pPr>
      <w:r>
        <w:rPr>
          <w:rFonts w:ascii="Calibri" w:cs="Calibri" w:eastAsia="Calibri" w:hAnsi="Calibri"/>
          <w:color w:val="404040"/>
          <w:sz w:val="22"/>
          <w:szCs w:val="22"/>
        </w:rPr>
        <w:t xml:space="preserve">Ganesh Gunasekaran, MD — Faculty Educator at Large; Section Chief of Hepatobiliary Surgery</w:t>
      </w:r>
    </w:p>
    <w:p>
      <w:pPr>
        <w:pStyle w:val="ListParagraph"/>
        <w:numPr>
          <w:ilvl w:val="0"/>
          <w:numId w:val="2"/>
        </w:numPr>
        <w:spacing w:after="40" w:before="0" w:line="276"/>
      </w:pPr>
      <w:r>
        <w:rPr>
          <w:rFonts w:ascii="Calibri" w:cs="Calibri" w:eastAsia="Calibri" w:hAnsi="Calibri"/>
          <w:color w:val="404040"/>
          <w:sz w:val="22"/>
          <w:szCs w:val="22"/>
        </w:rPr>
        <w:t xml:space="preserve">Eric Kutscher, MD — Faculty Educator at Large; Assistant Professor – General Internal Medicine</w:t>
      </w:r>
    </w:p>
    <w:p>
      <w:pPr>
        <w:pStyle w:val="ListParagraph"/>
        <w:numPr>
          <w:ilvl w:val="0"/>
          <w:numId w:val="2"/>
        </w:numPr>
        <w:spacing w:after="40" w:before="0" w:line="276"/>
      </w:pPr>
      <w:r>
        <w:rPr>
          <w:rFonts w:ascii="Calibri" w:cs="Calibri" w:eastAsia="Calibri" w:hAnsi="Calibri"/>
          <w:color w:val="404040"/>
          <w:sz w:val="22"/>
          <w:szCs w:val="22"/>
        </w:rPr>
        <w:t xml:space="preserve">Arvind Kamthan, MD — Faculty Educator at Large; Associate Professor – Hematology and Medical Oncology</w:t>
      </w:r>
    </w:p>
    <w:p>
      <w:pPr>
        <w:pStyle w:val="ListParagraph"/>
        <w:numPr>
          <w:ilvl w:val="0"/>
          <w:numId w:val="2"/>
        </w:numPr>
        <w:spacing w:after="40" w:before="0" w:line="276"/>
      </w:pPr>
      <w:r>
        <w:rPr>
          <w:rFonts w:ascii="Calibri" w:cs="Calibri" w:eastAsia="Calibri" w:hAnsi="Calibri"/>
          <w:color w:val="404040"/>
          <w:sz w:val="22"/>
          <w:szCs w:val="22"/>
        </w:rPr>
        <w:t xml:space="preserve">Brian Rice,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Jessica Reid-Adam, MD — Faculty Educator at Large; Professor – Medical Education, Pediatric</w:t>
      </w:r>
    </w:p>
    <w:p>
      <w:pPr>
        <w:pStyle w:val="ListParagraph"/>
        <w:numPr>
          <w:ilvl w:val="0"/>
          <w:numId w:val="2"/>
        </w:numPr>
        <w:spacing w:after="40" w:before="0" w:line="276"/>
      </w:pPr>
      <w:r>
        <w:rPr>
          <w:rFonts w:ascii="Calibri" w:cs="Calibri" w:eastAsia="Calibri" w:hAnsi="Calibri"/>
          <w:color w:val="404040"/>
          <w:sz w:val="22"/>
          <w:szCs w:val="22"/>
        </w:rPr>
        <w:t xml:space="preserve">Kyunghyun Lee,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Sreekala Raghavan, MD — Faculty Educator at Large; Associate Professor – General Internal Medicine, Medical Education</w:t>
      </w:r>
    </w:p>
    <w:p>
      <w:pPr>
        <w:pStyle w:val="ListParagraph"/>
        <w:numPr>
          <w:ilvl w:val="0"/>
          <w:numId w:val="2"/>
        </w:numPr>
        <w:spacing w:after="40" w:before="0" w:line="276"/>
      </w:pPr>
      <w:r>
        <w:rPr>
          <w:rFonts w:ascii="Calibri" w:cs="Calibri" w:eastAsia="Calibri" w:hAnsi="Calibri"/>
          <w:color w:val="404040"/>
          <w:sz w:val="22"/>
          <w:szCs w:val="22"/>
        </w:rPr>
        <w:t xml:space="preserve">Ann-Gel Palermo, DrPH MPH — Diversity, Equity, and Inclusion representative</w:t>
      </w:r>
    </w:p>
    <w:p>
      <w:pPr>
        <w:pStyle w:val="ListParagraph"/>
        <w:numPr>
          <w:ilvl w:val="0"/>
          <w:numId w:val="2"/>
        </w:numPr>
        <w:spacing w:after="40" w:before="0" w:line="276"/>
      </w:pPr>
      <w:r>
        <w:rPr>
          <w:rFonts w:ascii="Calibri" w:cs="Calibri" w:eastAsia="Calibri" w:hAnsi="Calibri"/>
          <w:color w:val="404040"/>
          <w:sz w:val="22"/>
          <w:szCs w:val="22"/>
        </w:rPr>
        <w:t xml:space="preserve">Matthew O'Connell, PhD — MD/PhD representative</w:t>
      </w:r>
    </w:p>
    <w:p>
      <w:pPr>
        <w:pStyle w:val="ListParagraph"/>
        <w:numPr>
          <w:ilvl w:val="0"/>
          <w:numId w:val="2"/>
        </w:numPr>
        <w:spacing w:after="40" w:before="0" w:line="276"/>
      </w:pPr>
      <w:r>
        <w:rPr>
          <w:rFonts w:ascii="Calibri" w:cs="Calibri" w:eastAsia="Calibri" w:hAnsi="Calibri"/>
          <w:color w:val="404040"/>
          <w:sz w:val="22"/>
          <w:szCs w:val="22"/>
        </w:rPr>
        <w:t xml:space="preserve">Brian Coakley, MD — Faculty at Large</w:t>
      </w:r>
    </w:p>
    <w:p>
      <w:pPr>
        <w:pStyle w:val="ListParagraph"/>
        <w:numPr>
          <w:ilvl w:val="0"/>
          <w:numId w:val="2"/>
        </w:numPr>
        <w:spacing w:after="40" w:before="0" w:line="276"/>
      </w:pPr>
      <w:r>
        <w:rPr>
          <w:rFonts w:ascii="Calibri" w:cs="Calibri" w:eastAsia="Calibri" w:hAnsi="Calibri"/>
          <w:color w:val="404040"/>
          <w:sz w:val="22"/>
          <w:szCs w:val="22"/>
        </w:rPr>
        <w:t xml:space="preserve">Michael Leitman, MD — Graduate Medical Education representative</w:t>
      </w:r>
    </w:p>
    <w:p>
      <w:pPr>
        <w:pStyle w:val="ListParagraph"/>
        <w:numPr>
          <w:ilvl w:val="0"/>
          <w:numId w:val="2"/>
        </w:numPr>
        <w:spacing w:after="40" w:before="0" w:line="276"/>
      </w:pPr>
      <w:r>
        <w:rPr>
          <w:rFonts w:ascii="Calibri" w:cs="Calibri" w:eastAsia="Calibri" w:hAnsi="Calibri"/>
          <w:color w:val="404040"/>
          <w:sz w:val="22"/>
          <w:szCs w:val="22"/>
        </w:rPr>
        <w:t xml:space="preserve">Alexandros Polydorides, MD PhD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Eve Merrill,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Cynthia Abraham,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Craig Katz, MD — Career and Professional Development (CaPD) Advisor</w:t>
      </w:r>
    </w:p>
    <w:p>
      <w:pPr>
        <w:pStyle w:val="ListParagraph"/>
        <w:numPr>
          <w:ilvl w:val="0"/>
          <w:numId w:val="2"/>
        </w:numPr>
        <w:spacing w:after="40" w:before="0" w:line="276"/>
      </w:pPr>
      <w:r>
        <w:rPr>
          <w:rFonts w:ascii="Calibri" w:cs="Calibri" w:eastAsia="Calibri" w:hAnsi="Calibri"/>
          <w:color w:val="404040"/>
          <w:sz w:val="22"/>
          <w:szCs w:val="22"/>
        </w:rPr>
        <w:t xml:space="preserve">Vannita Simma-Chiang, MD — Specialty Advisor; Director of Specialty Advising</w:t>
      </w:r>
    </w:p>
    <w:p>
      <w:pPr>
        <w:pStyle w:val="ListParagraph"/>
        <w:numPr>
          <w:ilvl w:val="0"/>
          <w:numId w:val="2"/>
        </w:numPr>
        <w:spacing w:after="40" w:before="0" w:line="276"/>
      </w:pPr>
      <w:r>
        <w:rPr>
          <w:rFonts w:ascii="Calibri" w:cs="Calibri" w:eastAsia="Calibri" w:hAnsi="Calibri"/>
          <w:color w:val="404040"/>
          <w:sz w:val="22"/>
          <w:szCs w:val="22"/>
        </w:rPr>
        <w:t xml:space="preserve">Alan Zhang — Student Representative, M1 (ASCEND Phase 1)</w:t>
      </w:r>
    </w:p>
    <w:p>
      <w:pPr>
        <w:pStyle w:val="ListParagraph"/>
        <w:numPr>
          <w:ilvl w:val="0"/>
          <w:numId w:val="2"/>
        </w:numPr>
        <w:spacing w:after="40" w:before="0" w:line="276"/>
      </w:pPr>
      <w:r>
        <w:rPr>
          <w:rFonts w:ascii="Calibri" w:cs="Calibri" w:eastAsia="Calibri" w:hAnsi="Calibri"/>
          <w:color w:val="404040"/>
          <w:sz w:val="22"/>
          <w:szCs w:val="22"/>
        </w:rPr>
        <w:t xml:space="preserve">Farimata Mbaye — Student Representative, M3 (Legacy)</w:t>
      </w:r>
    </w:p>
    <w:p>
      <w:pPr>
        <w:pStyle w:val="ListParagraph"/>
        <w:numPr>
          <w:ilvl w:val="0"/>
          <w:numId w:val="2"/>
        </w:numPr>
        <w:spacing w:after="40" w:before="0" w:line="276"/>
      </w:pPr>
      <w:r>
        <w:rPr>
          <w:rFonts w:ascii="Calibri" w:cs="Calibri" w:eastAsia="Calibri" w:hAnsi="Calibri"/>
          <w:color w:val="404040"/>
          <w:sz w:val="22"/>
          <w:szCs w:val="22"/>
        </w:rPr>
        <w:t xml:space="preserve">Masih Babagoli — Student Representative, M4 (Legacy)</w:t>
      </w:r>
    </w:p>
    <w:p>
      <w:pPr>
        <w:pStyle w:val="Heading2"/>
        <w:spacing w:after="120" w:before="240"/>
      </w:pPr>
      <w:r>
        <w:rPr>
          <w:rFonts w:ascii="Calibri" w:cs="Calibri" w:eastAsia="Calibri" w:hAnsi="Calibri"/>
          <w:b/>
          <w:bCs/>
          <w:color w:val="2E5984"/>
          <w:sz w:val="26"/>
          <w:szCs w:val="26"/>
        </w:rPr>
        <w:t xml:space="preserve">Guests/Ex Officio Members Present (Non-Voting)</w:t>
      </w:r>
    </w:p>
    <w:p>
      <w:pPr>
        <w:pStyle w:val="ListParagraph"/>
        <w:numPr>
          <w:ilvl w:val="0"/>
          <w:numId w:val="2"/>
        </w:numPr>
        <w:spacing w:after="40" w:before="0" w:line="276"/>
      </w:pPr>
      <w:r>
        <w:rPr>
          <w:rFonts w:ascii="Calibri" w:cs="Calibri" w:eastAsia="Calibri" w:hAnsi="Calibri"/>
          <w:color w:val="404040"/>
          <w:sz w:val="22"/>
          <w:szCs w:val="22"/>
        </w:rPr>
        <w:t xml:space="preserve">David C. Thomas, MD MHPE — Ex Officio; Dean for Medical Education</w:t>
      </w:r>
    </w:p>
    <w:p>
      <w:pPr>
        <w:pStyle w:val="ListParagraph"/>
        <w:numPr>
          <w:ilvl w:val="0"/>
          <w:numId w:val="2"/>
        </w:numPr>
        <w:spacing w:after="40" w:before="0" w:line="276"/>
      </w:pPr>
      <w:r>
        <w:rPr>
          <w:rFonts w:ascii="Calibri" w:cs="Calibri" w:eastAsia="Calibri" w:hAnsi="Calibri"/>
          <w:color w:val="404040"/>
          <w:sz w:val="22"/>
          <w:szCs w:val="22"/>
        </w:rPr>
        <w:t xml:space="preserve">Barbara Masi, PhD — Ex Officio; Director of Quality, Compliance, and Accreditation</w:t>
      </w:r>
    </w:p>
    <w:p>
      <w:pPr>
        <w:pStyle w:val="ListParagraph"/>
        <w:numPr>
          <w:ilvl w:val="0"/>
          <w:numId w:val="2"/>
        </w:numPr>
        <w:spacing w:after="40" w:before="0" w:line="276"/>
      </w:pPr>
      <w:r>
        <w:rPr>
          <w:rFonts w:ascii="Calibri" w:cs="Calibri" w:eastAsia="Calibri" w:hAnsi="Calibri"/>
          <w:color w:val="404040"/>
          <w:sz w:val="22"/>
          <w:szCs w:val="22"/>
        </w:rPr>
        <w:t xml:space="preserve">Valerie Parkas, MD — Ex Officio; Sr. Associate Dean for Admissions &amp; Recruitment; Interim Sr. Associate Dean for Student Affairs</w:t>
      </w:r>
    </w:p>
    <w:p>
      <w:pPr>
        <w:pStyle w:val="Heading2"/>
        <w:spacing w:after="120" w:before="240"/>
      </w:pPr>
      <w:r>
        <w:rPr>
          <w:rFonts w:ascii="Calibri" w:cs="Calibri" w:eastAsia="Calibri" w:hAnsi="Calibri"/>
          <w:b/>
          <w:bCs/>
          <w:color w:val="2E5984"/>
          <w:sz w:val="26"/>
          <w:szCs w:val="26"/>
        </w:rPr>
        <w:t xml:space="preserve">CA Leadership Present (Non-Voting)</w:t>
      </w:r>
    </w:p>
    <w:p>
      <w:pPr>
        <w:spacing w:after="120" w:before="0" w:line="276"/>
      </w:pPr>
      <w:r>
        <w:rPr>
          <w:rFonts w:ascii="Calibri" w:cs="Calibri" w:eastAsia="Calibri" w:hAnsi="Calibri"/>
          <w:i/>
          <w:iCs/>
          <w:color w:val="404040"/>
          <w:sz w:val="22"/>
          <w:szCs w:val="22"/>
        </w:rPr>
        <w:t xml:space="preserve">None.</w:t>
      </w:r>
    </w:p>
    <w:p>
      <w:pPr>
        <w:pStyle w:val="Heading1"/>
        <w:pBdr>
          <w:bottom w:val="single" w:color="1F3A5F" w:sz="8" w:space="4"/>
        </w:pBdr>
        <w:spacing w:after="160" w:before="320"/>
      </w:pPr>
      <w:r>
        <w:rPr>
          <w:rFonts w:ascii="Calibri" w:cs="Calibri" w:eastAsia="Calibri" w:hAnsi="Calibri"/>
          <w:b/>
          <w:bCs/>
          <w:color w:val="1F3A5F"/>
          <w:sz w:val="28"/>
          <w:szCs w:val="28"/>
        </w:rPr>
        <w:t xml:space="preserve">2. Call to Order, Quorum, and Approval of Agenda</w:t>
      </w:r>
    </w:p>
    <w:p>
      <w:pPr>
        <w:pStyle w:val="Heading2"/>
        <w:spacing w:after="120" w:before="240"/>
      </w:pPr>
      <w:r>
        <w:rPr>
          <w:rFonts w:ascii="Calibri" w:cs="Calibri" w:eastAsia="Calibri" w:hAnsi="Calibri"/>
          <w:b/>
          <w:bCs/>
          <w:color w:val="2E5984"/>
          <w:sz w:val="26"/>
          <w:szCs w:val="26"/>
        </w:rPr>
        <w:t xml:space="preserve">Call to Order</w:t>
      </w:r>
    </w:p>
    <w:p>
      <w:pPr>
        <w:spacing w:after="120" w:before="0" w:line="276"/>
      </w:pPr>
      <w:r>
        <w:rPr>
          <w:rFonts w:ascii="Calibri" w:cs="Calibri" w:eastAsia="Calibri" w:hAnsi="Calibri"/>
          <w:color w:val="404040"/>
          <w:sz w:val="22"/>
          <w:szCs w:val="22"/>
        </w:rPr>
        <w:t xml:space="preserve">The meeting was convened on Zoom. Dr. Robert Fallar (Associate Dean for Assessment and Evaluation) presided as Acting Chair in the absence of the Chair, Dr. Michelle Francis, opening with the observation that he had been filling in across multiple meetings that day. The Acting Chair expressed initial concern that the meeting might not reach quorum and considered punting decisions to the next meeting or to an email vote.</w:t>
      </w:r>
    </w:p>
    <w:p>
      <w:pPr>
        <w:pStyle w:val="Heading2"/>
        <w:spacing w:after="120" w:before="240"/>
      </w:pPr>
      <w:r>
        <w:rPr>
          <w:rFonts w:ascii="Calibri" w:cs="Calibri" w:eastAsia="Calibri" w:hAnsi="Calibri"/>
          <w:b/>
          <w:bCs/>
          <w:color w:val="2E5984"/>
          <w:sz w:val="26"/>
          <w:szCs w:val="26"/>
        </w:rPr>
        <w:t xml:space="preserve">Quorum Determination</w:t>
      </w:r>
    </w:p>
    <w:p>
      <w:pPr>
        <w:spacing w:after="120" w:before="0" w:line="276"/>
      </w:pPr>
      <w:r>
        <w:rPr>
          <w:rFonts w:ascii="Calibri" w:cs="Calibri" w:eastAsia="Calibri" w:hAnsi="Calibri"/>
          <w:color w:val="404040"/>
          <w:sz w:val="22"/>
          <w:szCs w:val="22"/>
        </w:rPr>
        <w:t xml:space="preserve">At the call to order quorum was not initially achieved. Dr. Kris Alpi requested clarification of the quorum threshold; Dr. Fallar stated quorum was 11 of 22 members. Discussion ensued regarding whether the two newly seated members present (Dr. Richard Stern and Mr. Jamie Frost) were eligible to vote on prior minutes versus new business: Dr. Valerie Parkas and Dr. Barbara Masi confirmed both members had been approved by Faculty Council and were eligible to vote on the policies before the committee, though they would not vote on prior minutes (as they were not members at the time of the prior meeting). Following the late arrival of Dr. Vasundhara Singh (joined as #9) and Dr. Tonia Kim (joined as #10), the Acting Chair confirmed quorum on the record: "9, 10, ... we are good to go." The committee then proceeded with the policy votes. Note: Dr. Fallar's stated quorum threshold of 11 differs from the era roster's calculated quorum (17 of 32 under the corrected AY 2024–2025 voting structure); contemporaneous EOC sign-in records and the operative AY 2024–2025 bylaws should be reconciled before this is filed as LCME evidence.</w:t>
      </w:r>
    </w:p>
    <w:p>
      <w:pPr>
        <w:pStyle w:val="Heading2"/>
        <w:spacing w:after="120" w:before="240"/>
      </w:pPr>
      <w:r>
        <w:rPr>
          <w:rFonts w:ascii="Calibri" w:cs="Calibri" w:eastAsia="Calibri" w:hAnsi="Calibri"/>
          <w:b/>
          <w:bCs/>
          <w:color w:val="2E5984"/>
          <w:sz w:val="26"/>
          <w:szCs w:val="26"/>
        </w:rPr>
        <w:t xml:space="preserve">Approval of Agenda</w:t>
      </w:r>
    </w:p>
    <w:p>
      <w:pPr>
        <w:spacing w:after="120" w:before="0" w:line="276"/>
      </w:pPr>
      <w:r>
        <w:rPr>
          <w:rFonts w:ascii="Calibri" w:cs="Calibri" w:eastAsia="Calibri" w:hAnsi="Calibri"/>
          <w:color w:val="404040"/>
          <w:sz w:val="22"/>
          <w:szCs w:val="22"/>
        </w:rPr>
        <w:t xml:space="preserve">The agenda comprised review of the prior EOC minutes followed by two policy votes: the revised Conflict of Interest in Assessment Policy (Dr. Barbara Masi) and the revised Excused Absence Policy for the Phase 1 curriculum (Dr. Staci Leisman). The Acting Chair confirmed the agenda; no modifications were proposed.</w:t>
      </w:r>
    </w:p>
    <w:p>
      <w:pPr>
        <w:pStyle w:val="Heading2"/>
        <w:spacing w:after="120" w:before="240"/>
      </w:pPr>
      <w:r>
        <w:rPr>
          <w:rFonts w:ascii="Calibri" w:cs="Calibri" w:eastAsia="Calibri" w:hAnsi="Calibri"/>
          <w:b/>
          <w:bCs/>
          <w:color w:val="2E5984"/>
          <w:sz w:val="26"/>
          <w:szCs w:val="26"/>
        </w:rPr>
        <w:t xml:space="preserve">Approval of Prior Meeting Minutes</w:t>
      </w:r>
    </w:p>
    <w:p>
      <w:pPr>
        <w:spacing w:after="120" w:before="0" w:line="276"/>
      </w:pPr>
      <w:r>
        <w:rPr>
          <w:rFonts w:ascii="Calibri" w:cs="Calibri" w:eastAsia="Calibri" w:hAnsi="Calibri"/>
          <w:color w:val="404040"/>
          <w:sz w:val="22"/>
          <w:szCs w:val="22"/>
        </w:rPr>
        <w:t xml:space="preserve">The Acting Chair noted that the minutes from the prior EOC meeting had been distributed in advance and invited objections or corrections. He noted that the two newly seated members (Dr. Stern and Mr. Frost) would not vote on the prior minutes as they were not members at the time of that meeting. No objections were raised by eligible members.</w:t>
      </w:r>
    </w:p>
    <w:p>
      <w:pPr>
        <w:spacing w:after="120" w:before="0" w:line="276"/>
      </w:pPr>
      <w:r>
        <w:rPr>
          <w:rFonts w:ascii="Calibri" w:cs="Calibri" w:eastAsia="Calibri" w:hAnsi="Calibri"/>
          <w:b/>
          <w:bCs/>
          <w:color w:val="404040"/>
          <w:sz w:val="22"/>
          <w:szCs w:val="22"/>
        </w:rPr>
        <w:t xml:space="preserve">Outcome:</w:t>
      </w:r>
      <w:r>
        <w:rPr>
          <w:rFonts w:ascii="Calibri" w:cs="Calibri" w:eastAsia="Calibri" w:hAnsi="Calibri"/>
          <w:color w:val="404040"/>
          <w:sz w:val="22"/>
          <w:szCs w:val="22"/>
        </w:rPr>
        <w:t xml:space="preserve"> Minutes from the prior EOC meeting were approved by unanimous consent (newly seated members recused as not-yet-members at the time of the prior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3. Subcommittee Reports</w:t>
      </w:r>
    </w:p>
    <w:p>
      <w:pPr>
        <w:spacing w:after="120" w:before="0" w:line="276"/>
      </w:pPr>
      <w:r>
        <w:rPr>
          <w:rFonts w:ascii="Calibri" w:cs="Calibri" w:eastAsia="Calibri" w:hAnsi="Calibri"/>
          <w:color w:val="404040"/>
          <w:sz w:val="22"/>
          <w:szCs w:val="22"/>
        </w:rPr>
        <w:t xml:space="preserve">No subcommittee report-outs were scheduled at this meeting; the agenda focused on the two policy votes.</w:t>
      </w:r>
    </w:p>
    <w:p>
      <w:pPr>
        <w:pStyle w:val="Heading1"/>
        <w:pBdr>
          <w:bottom w:val="single" w:color="1F3A5F" w:sz="8" w:space="4"/>
        </w:pBdr>
        <w:spacing w:after="160" w:before="320"/>
      </w:pPr>
      <w:r>
        <w:rPr>
          <w:rFonts w:ascii="Calibri" w:cs="Calibri" w:eastAsia="Calibri" w:hAnsi="Calibri"/>
          <w:b/>
          <w:bCs/>
          <w:color w:val="1F3A5F"/>
          <w:sz w:val="28"/>
          <w:szCs w:val="28"/>
        </w:rPr>
        <w:t xml:space="preserve">4. New Business</w:t>
      </w:r>
    </w:p>
    <w:p>
      <w:pPr>
        <w:spacing w:after="120" w:before="0" w:line="276"/>
      </w:pPr>
      <w:r>
        <w:rPr>
          <w:rFonts w:ascii="Calibri" w:cs="Calibri" w:eastAsia="Calibri" w:hAnsi="Calibri"/>
          <w:color w:val="404040"/>
          <w:sz w:val="22"/>
          <w:szCs w:val="22"/>
        </w:rPr>
        <w:t xml:space="preserve">Not raised at this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5. Review of Prior Action Items</w:t>
      </w:r>
    </w:p>
    <w:p>
      <w:pPr>
        <w:spacing w:after="120" w:before="0" w:line="276"/>
      </w:pPr>
      <w:r>
        <w:rPr>
          <w:rFonts w:ascii="Calibri" w:cs="Calibri" w:eastAsia="Calibri" w:hAnsi="Calibri"/>
          <w:color w:val="404040"/>
          <w:sz w:val="22"/>
          <w:szCs w:val="22"/>
        </w:rPr>
        <w:t xml:space="preserve">Not raised at this meeting. This was the first EOC meeting of AY 2024–2025.</w:t>
      </w:r>
    </w:p>
    <w:p>
      <w:pPr>
        <w:pStyle w:val="Heading1"/>
        <w:pBdr>
          <w:bottom w:val="single" w:color="1F3A5F" w:sz="8" w:space="4"/>
        </w:pBdr>
        <w:spacing w:after="160" w:before="320"/>
      </w:pPr>
      <w:r>
        <w:rPr>
          <w:rFonts w:ascii="Calibri" w:cs="Calibri" w:eastAsia="Calibri" w:hAnsi="Calibri"/>
          <w:b/>
          <w:bCs/>
          <w:color w:val="1F3A5F"/>
          <w:sz w:val="28"/>
          <w:szCs w:val="28"/>
        </w:rPr>
        <w:t xml:space="preserve">6. Agenda Items — Review, Discussion, and Voting</w:t>
      </w:r>
    </w:p>
    <w:p>
      <w:pPr>
        <w:pStyle w:val="Heading2"/>
        <w:spacing w:after="120" w:before="280"/>
      </w:pPr>
      <w:r>
        <w:rPr>
          <w:rFonts w:ascii="Calibri" w:cs="Calibri" w:eastAsia="Calibri" w:hAnsi="Calibri"/>
          <w:b/>
          <w:bCs/>
          <w:color w:val="2E5984"/>
          <w:sz w:val="26"/>
          <w:szCs w:val="26"/>
        </w:rPr>
        <w:t xml:space="preserve">6.1  Approval of Minutes — Prior EOC Meeting</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Robert Fallar, PhD (Acting Chair)</w:t>
      </w:r>
    </w:p>
    <w:p>
      <w:pPr>
        <w:spacing w:after="120" w:before="0" w:line="276"/>
      </w:pPr>
      <w:r>
        <w:rPr>
          <w:rFonts w:ascii="Calibri" w:cs="Calibri" w:eastAsia="Calibri" w:hAnsi="Calibri"/>
          <w:i/>
          <w:iCs/>
          <w:color w:val="404040"/>
          <w:sz w:val="22"/>
          <w:szCs w:val="22"/>
        </w:rPr>
        <w:t xml:space="preserve">See Section 2 above for the disposition; minutes were approved by unanimous consent.</w:t>
      </w:r>
    </w:p>
    <w:p>
      <w:pPr>
        <w:pStyle w:val="Heading3"/>
        <w:spacing w:after="80" w:before="180"/>
      </w:pPr>
      <w:r>
        <w:rPr>
          <w:rFonts w:ascii="Calibri" w:cs="Calibri" w:eastAsia="Calibri" w:hAnsi="Calibri"/>
          <w:b/>
          <w:bCs/>
          <w:i/>
          <w:iCs/>
          <w:color w:val="404040"/>
          <w:sz w:val="22"/>
          <w:szCs w:val="22"/>
        </w:rPr>
        <w:t xml:space="preserve">Vote — Approval of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minutes from the prior EOC meeting as circulated.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Presented by the Acting Chair on the standing agenda; no separate mover was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unanimous consent — Acting Chair invited objections; none were raised by eligible voting members.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raised when invited.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Newly seated members (Dr. Stern, Mr. Frost) recused as not-yet-members at the time of the prior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Prior EOC minutes approved by unanimous consent.</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 by unanimous consent.</w:t>
      </w:r>
      <w:r>
        <w:rPr>
          <w:rFonts w:ascii="Calibri" w:cs="Calibri" w:eastAsia="Calibri" w:hAnsi="Calibri"/>
          <w:color w:val="404040"/>
          <w:sz w:val="22"/>
          <w:szCs w:val="22"/>
        </w:rPr>
        <w:t xml:space="preserve"> Minutes filed as part of the EOC record.</w:t>
      </w:r>
    </w:p>
    <w:p>
      <w:pPr>
        <w:pStyle w:val="Heading2"/>
        <w:spacing w:after="120" w:before="280"/>
      </w:pPr>
      <w:r>
        <w:rPr>
          <w:rFonts w:ascii="Calibri" w:cs="Calibri" w:eastAsia="Calibri" w:hAnsi="Calibri"/>
          <w:b/>
          <w:bCs/>
          <w:color w:val="2E5984"/>
          <w:sz w:val="26"/>
          <w:szCs w:val="26"/>
        </w:rPr>
        <w:t xml:space="preserve">6.2  Conflict of Interest in Assessment Policy — Revision for AY 2024–2025</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Barbara Masi, PhD (Director of Quality, Compliance, and Accreditation)</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1.2 — Conflict of Interest Policies; 11.1 — Academic Advising; 12.5 — Non-Involvement of Providers of Student Health Services in Student Assessment</w:t>
      </w:r>
    </w:p>
    <w:p>
      <w:pPr>
        <w:pStyle w:val="Heading3"/>
        <w:spacing w:after="80" w:before="180"/>
      </w:pPr>
      <w:r>
        <w:rPr>
          <w:rFonts w:ascii="Calibri" w:cs="Calibri" w:eastAsia="Calibri" w:hAnsi="Calibri"/>
          <w:b/>
          <w:bCs/>
          <w:i/>
          <w:iCs/>
          <w:color w:val="404040"/>
          <w:sz w:val="22"/>
          <w:szCs w:val="22"/>
        </w:rPr>
        <w:t xml:space="preserve">Framing and Scope</w:t>
      </w:r>
    </w:p>
    <w:p>
      <w:pPr>
        <w:spacing w:after="120" w:before="0" w:line="276"/>
      </w:pPr>
      <w:r>
        <w:rPr>
          <w:rFonts w:ascii="Calibri" w:cs="Calibri" w:eastAsia="Calibri" w:hAnsi="Calibri"/>
          <w:color w:val="404040"/>
          <w:sz w:val="22"/>
          <w:szCs w:val="22"/>
        </w:rPr>
        <w:t xml:space="preserve">Dr. Barbara Masi presented the revised Conflict of Interest in Assessment Policy for committee review and approval, distinguishing this policy from Mount Sinai's general institutional Conflict of Interest policies. Dr. Masi framed the policy against three LCME standard elements (1.2, 11.1, and 12.5) that collectively require that conflicts of interest not impair the assessment of students.</w:t>
      </w:r>
    </w:p>
    <w:p>
      <w:pPr>
        <w:spacing w:after="120" w:before="0" w:line="276"/>
      </w:pPr>
      <w:r>
        <w:rPr>
          <w:rFonts w:ascii="Calibri" w:cs="Calibri" w:eastAsia="Calibri" w:hAnsi="Calibri"/>
          <w:color w:val="404040"/>
          <w:sz w:val="22"/>
          <w:szCs w:val="22"/>
        </w:rPr>
        <w:t xml:space="preserve">The policy was last reviewed and approved by the EOC in August 2023. Dr. Masi summarized the revisions made since that review.</w:t>
      </w:r>
    </w:p>
    <w:p>
      <w:pPr>
        <w:pStyle w:val="Heading3"/>
        <w:spacing w:after="80" w:before="180"/>
      </w:pPr>
      <w:r>
        <w:rPr>
          <w:rFonts w:ascii="Calibri" w:cs="Calibri" w:eastAsia="Calibri" w:hAnsi="Calibri"/>
          <w:b/>
          <w:bCs/>
          <w:i/>
          <w:iCs/>
          <w:color w:val="404040"/>
          <w:sz w:val="22"/>
          <w:szCs w:val="22"/>
        </w:rPr>
        <w:t xml:space="preserve">Substantive Revisions</w:t>
      </w:r>
    </w:p>
    <w:p>
      <w:pPr>
        <w:pStyle w:val="ListParagraph"/>
        <w:numPr>
          <w:ilvl w:val="0"/>
          <w:numId w:val="2"/>
        </w:numPr>
        <w:spacing w:after="60" w:before="0" w:line="276"/>
      </w:pPr>
      <w:r>
        <w:rPr>
          <w:rFonts w:ascii="Calibri" w:cs="Calibri" w:eastAsia="Calibri" w:hAnsi="Calibri"/>
          <w:color w:val="404040"/>
          <w:sz w:val="22"/>
          <w:szCs w:val="22"/>
        </w:rPr>
        <w:t xml:space="preserve">Added language capturing </w:t>
      </w:r>
      <w:r>
        <w:rPr>
          <w:rFonts w:ascii="Calibri" w:cs="Calibri" w:eastAsia="Calibri" w:hAnsi="Calibri"/>
          <w:b/>
          <w:bCs/>
          <w:color w:val="404040"/>
          <w:sz w:val="22"/>
          <w:szCs w:val="22"/>
        </w:rPr>
        <w:t xml:space="preserve">adverse actions</w:t>
      </w:r>
      <w:r>
        <w:rPr>
          <w:rFonts w:ascii="Calibri" w:cs="Calibri" w:eastAsia="Calibri" w:hAnsi="Calibri"/>
          <w:color w:val="404040"/>
          <w:sz w:val="22"/>
          <w:szCs w:val="22"/>
        </w:rPr>
        <w:t xml:space="preserve"> between students and faculty, non-faculty instructors, or residents — alongside the existing dual-relationship language.</w:t>
      </w:r>
    </w:p>
    <w:p>
      <w:pPr>
        <w:pStyle w:val="ListParagraph"/>
        <w:numPr>
          <w:ilvl w:val="0"/>
          <w:numId w:val="2"/>
        </w:numPr>
        <w:spacing w:after="60" w:before="0" w:line="276"/>
      </w:pPr>
      <w:r>
        <w:rPr>
          <w:rFonts w:ascii="Calibri" w:cs="Calibri" w:eastAsia="Calibri" w:hAnsi="Calibri"/>
          <w:color w:val="404040"/>
          <w:sz w:val="22"/>
          <w:szCs w:val="22"/>
        </w:rPr>
        <w:t xml:space="preserve">Added explicit reference to faculty roles in </w:t>
      </w:r>
      <w:r>
        <w:rPr>
          <w:rFonts w:ascii="Calibri" w:cs="Calibri" w:eastAsia="Calibri" w:hAnsi="Calibri"/>
          <w:b/>
          <w:bCs/>
          <w:color w:val="404040"/>
          <w:sz w:val="22"/>
          <w:szCs w:val="22"/>
        </w:rPr>
        <w:t xml:space="preserve">remediation and promotion</w:t>
      </w:r>
      <w:r>
        <w:rPr>
          <w:rFonts w:ascii="Calibri" w:cs="Calibri" w:eastAsia="Calibri" w:hAnsi="Calibri"/>
          <w:color w:val="404040"/>
          <w:sz w:val="22"/>
          <w:szCs w:val="22"/>
        </w:rPr>
        <w:t xml:space="preserve"> decisions, not solely assessment.</w:t>
      </w:r>
    </w:p>
    <w:p>
      <w:pPr>
        <w:pStyle w:val="ListParagraph"/>
        <w:numPr>
          <w:ilvl w:val="0"/>
          <w:numId w:val="2"/>
        </w:numPr>
        <w:spacing w:after="60" w:before="0" w:line="276"/>
      </w:pPr>
      <w:r>
        <w:rPr>
          <w:rFonts w:ascii="Calibri" w:cs="Calibri" w:eastAsia="Calibri" w:hAnsi="Calibri"/>
          <w:color w:val="404040"/>
          <w:sz w:val="22"/>
          <w:szCs w:val="22"/>
        </w:rPr>
        <w:t xml:space="preserve">Expanded the bulleted enumeration of example conflicts of interest from three to seven, adding: assigned role as academic or career/professional advisor; direct financial or business relationship; faculty role in an adverse action against a student; and student filing of a mistreatment report involving the faculty member. The list is illustrative, not exhaustive.</w:t>
      </w:r>
    </w:p>
    <w:p>
      <w:pPr>
        <w:pStyle w:val="ListParagraph"/>
        <w:numPr>
          <w:ilvl w:val="0"/>
          <w:numId w:val="2"/>
        </w:numPr>
        <w:spacing w:after="60" w:before="0" w:line="276"/>
      </w:pPr>
      <w:r>
        <w:rPr>
          <w:rFonts w:ascii="Calibri" w:cs="Calibri" w:eastAsia="Calibri" w:hAnsi="Calibri"/>
          <w:color w:val="404040"/>
          <w:sz w:val="22"/>
          <w:szCs w:val="22"/>
        </w:rPr>
        <w:t xml:space="preserve">Clarified procedural language separating policy from procedure: where a conflict or history of adverse action is known to the faculty member or resident, arrangements will be made with the course, module, or clerkship director to avoid the conflict; the existing faculty self-attestation mechanism on clinical evaluation forms is to be extended to the pre-clerkship level; and students retain the ability to request an alternative assignment.</w:t>
      </w:r>
    </w:p>
    <w:p>
      <w:pPr>
        <w:spacing w:after="120" w:before="0" w:line="276"/>
      </w:pPr>
      <w:r>
        <w:rPr>
          <w:rFonts w:ascii="Calibri" w:cs="Calibri" w:eastAsia="Calibri" w:hAnsi="Calibri"/>
          <w:color w:val="404040"/>
          <w:sz w:val="22"/>
          <w:szCs w:val="22"/>
        </w:rPr>
        <w:t xml:space="preserve">Dr. Fallar emphasized that the LCME framework places the burden of disclosure primarily on the faculty side, not on the student; Dr. Masi affirmed this while noting that students retain a parallel disclosure pathway.</w:t>
      </w:r>
    </w:p>
    <w:p>
      <w:pPr>
        <w:pStyle w:val="Heading3"/>
        <w:spacing w:after="80" w:before="180"/>
      </w:pPr>
      <w:r>
        <w:rPr>
          <w:rFonts w:ascii="Calibri" w:cs="Calibri" w:eastAsia="Calibri" w:hAnsi="Calibri"/>
          <w:b/>
          <w:bCs/>
          <w:i/>
          <w:iCs/>
          <w:color w:val="404040"/>
          <w:sz w:val="22"/>
          <w:szCs w:val="22"/>
        </w:rPr>
        <w:t xml:space="preserve">Vote — Conflict of Interest in Assessment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revised Conflict of Interest in Assessment Policy effective AY 2024–2025.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Motion put by the Acting Chair following discussion.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show of hands. The Acting Chair characterized the disposition of both day-of-business votes as unanimous: "We've had unanimous approval of both policies." Specific tally was not enumerated.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 opposition was raised when the Acting Chair invited dissent.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recorded.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Revised Conflict of Interest in Assessment Policy approved by unanimous show of hands.</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w:t>
      </w:r>
      <w:r>
        <w:rPr>
          <w:rFonts w:ascii="Calibri" w:cs="Calibri" w:eastAsia="Calibri" w:hAnsi="Calibri"/>
          <w:color w:val="404040"/>
          <w:sz w:val="22"/>
          <w:szCs w:val="22"/>
        </w:rPr>
        <w:t xml:space="preserve"> Effective AY 2024–2025. Implementation includes extension of the faculty self-attestation mechanism to the pre-clerkship level and reinforcement in pre-clerkship and clerkship faculty development.</w:t>
      </w:r>
    </w:p>
    <w:p>
      <w:pPr>
        <w:pStyle w:val="Heading2"/>
        <w:spacing w:after="120" w:before="280"/>
      </w:pPr>
      <w:r>
        <w:rPr>
          <w:rFonts w:ascii="Calibri" w:cs="Calibri" w:eastAsia="Calibri" w:hAnsi="Calibri"/>
          <w:b/>
          <w:bCs/>
          <w:color w:val="2E5984"/>
          <w:sz w:val="26"/>
          <w:szCs w:val="26"/>
        </w:rPr>
        <w:t xml:space="preserve">6.3  Excused Absence Policy (Phase 1 — Legacy and ASCEND) — Revision for AY 2024–2025</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Staci Leisman, MD (Chair, Course Directors Subcommittee)</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10.3 — Policies Regarding Student Selection / Progression; 12.0 — Student Services</w:t>
      </w:r>
    </w:p>
    <w:p>
      <w:pPr>
        <w:pStyle w:val="Heading3"/>
        <w:spacing w:after="80" w:before="180"/>
      </w:pPr>
      <w:r>
        <w:rPr>
          <w:rFonts w:ascii="Calibri" w:cs="Calibri" w:eastAsia="Calibri" w:hAnsi="Calibri"/>
          <w:b/>
          <w:bCs/>
          <w:i/>
          <w:iCs/>
          <w:color w:val="404040"/>
          <w:sz w:val="22"/>
          <w:szCs w:val="22"/>
        </w:rPr>
        <w:t xml:space="preserve">Framing — Current Policy and Proposed Changes</w:t>
      </w:r>
    </w:p>
    <w:p>
      <w:pPr>
        <w:spacing w:after="120" w:before="0" w:line="276"/>
      </w:pPr>
      <w:r>
        <w:rPr>
          <w:rFonts w:ascii="Calibri" w:cs="Calibri" w:eastAsia="Calibri" w:hAnsi="Calibri"/>
          <w:color w:val="404040"/>
          <w:sz w:val="22"/>
          <w:szCs w:val="22"/>
        </w:rPr>
        <w:t xml:space="preserve">Dr. Staci Leisman presented the revised Excused Absence Policy for Phase 1 of the curriculum, applicable to both the Legacy and ASCEND tracks. The policy governs absences from mandatory sessions in years 1 and 2 only; the clerkship-phase policy was not affected by this revision.</w:t>
      </w:r>
    </w:p>
    <w:p>
      <w:pPr>
        <w:spacing w:after="120" w:before="0" w:line="276"/>
      </w:pPr>
      <w:r>
        <w:rPr>
          <w:rFonts w:ascii="Calibri" w:cs="Calibri" w:eastAsia="Calibri" w:hAnsi="Calibri"/>
          <w:color w:val="404040"/>
          <w:sz w:val="22"/>
          <w:szCs w:val="22"/>
        </w:rPr>
        <w:t xml:space="preserve">Current policy: five planned absences plus two unplanned absences per semester (with a four-week advance-notice requirement for planned absences and no restricted days, subject to the rule that students may not miss more than 50% of any course).</w:t>
      </w:r>
    </w:p>
    <w:p>
      <w:pPr>
        <w:spacing w:after="120" w:before="0" w:line="276"/>
      </w:pPr>
      <w:r>
        <w:rPr>
          <w:rFonts w:ascii="Calibri" w:cs="Calibri" w:eastAsia="Calibri" w:hAnsi="Calibri"/>
          <w:color w:val="404040"/>
          <w:sz w:val="22"/>
          <w:szCs w:val="22"/>
        </w:rPr>
        <w:t xml:space="preserve">Proposed policy:</w:t>
      </w:r>
    </w:p>
    <w:p>
      <w:pPr>
        <w:pStyle w:val="ListParagraph"/>
        <w:numPr>
          <w:ilvl w:val="0"/>
          <w:numId w:val="2"/>
        </w:numPr>
        <w:spacing w:after="60" w:before="0" w:line="276"/>
      </w:pPr>
      <w:r>
        <w:rPr>
          <w:rFonts w:ascii="Calibri" w:cs="Calibri" w:eastAsia="Calibri" w:hAnsi="Calibri"/>
          <w:b/>
          <w:bCs/>
          <w:color w:val="404040"/>
          <w:sz w:val="22"/>
          <w:szCs w:val="22"/>
        </w:rPr>
        <w:t xml:space="preserve">Pool consolidation</w:t>
      </w:r>
      <w:r>
        <w:rPr>
          <w:rFonts w:ascii="Calibri" w:cs="Calibri" w:eastAsia="Calibri" w:hAnsi="Calibri"/>
          <w:color w:val="404040"/>
          <w:sz w:val="22"/>
          <w:szCs w:val="22"/>
        </w:rPr>
        <w:t xml:space="preserve"> — five total absences per semester (planned or unplanned), not rolling over between semesters.</w:t>
      </w:r>
    </w:p>
    <w:p>
      <w:pPr>
        <w:pStyle w:val="ListParagraph"/>
        <w:numPr>
          <w:ilvl w:val="0"/>
          <w:numId w:val="2"/>
        </w:numPr>
        <w:spacing w:after="60" w:before="0" w:line="276"/>
      </w:pPr>
      <w:r>
        <w:rPr>
          <w:rFonts w:ascii="Calibri" w:cs="Calibri" w:eastAsia="Calibri" w:hAnsi="Calibri"/>
          <w:b/>
          <w:bCs/>
          <w:color w:val="404040"/>
          <w:sz w:val="22"/>
          <w:szCs w:val="22"/>
        </w:rPr>
        <w:t xml:space="preserve">Advance notice reduced</w:t>
      </w:r>
      <w:r>
        <w:rPr>
          <w:rFonts w:ascii="Calibri" w:cs="Calibri" w:eastAsia="Calibri" w:hAnsi="Calibri"/>
          <w:color w:val="404040"/>
          <w:sz w:val="22"/>
          <w:szCs w:val="22"/>
        </w:rPr>
        <w:t xml:space="preserve"> — two weeks rather than four weeks for planned absences.</w:t>
      </w:r>
    </w:p>
    <w:p>
      <w:pPr>
        <w:pStyle w:val="ListParagraph"/>
        <w:numPr>
          <w:ilvl w:val="0"/>
          <w:numId w:val="2"/>
        </w:numPr>
        <w:spacing w:after="60" w:before="0" w:line="276"/>
      </w:pPr>
      <w:r>
        <w:rPr>
          <w:rFonts w:ascii="Calibri" w:cs="Calibri" w:eastAsia="Calibri" w:hAnsi="Calibri"/>
          <w:b/>
          <w:bCs/>
          <w:color w:val="404040"/>
          <w:sz w:val="22"/>
          <w:szCs w:val="22"/>
        </w:rPr>
        <w:t xml:space="preserve">Restricted days added</w:t>
      </w:r>
      <w:r>
        <w:rPr>
          <w:rFonts w:ascii="Calibri" w:cs="Calibri" w:eastAsia="Calibri" w:hAnsi="Calibri"/>
          <w:color w:val="404040"/>
          <w:sz w:val="22"/>
          <w:szCs w:val="22"/>
        </w:rPr>
        <w:t xml:space="preserve"> — students may not request planned absences on assessment days (proctored and unproctored LCME exams, Practice of Medicine assessments, anatomy/pathology practicals), with exceptions for major religious holidays (with two weeks' notice) and same-day emergencies.</w:t>
      </w:r>
    </w:p>
    <w:p>
      <w:pPr>
        <w:pStyle w:val="ListParagraph"/>
        <w:numPr>
          <w:ilvl w:val="0"/>
          <w:numId w:val="2"/>
        </w:numPr>
        <w:spacing w:after="60" w:before="0" w:line="276"/>
      </w:pPr>
      <w:r>
        <w:rPr>
          <w:rFonts w:ascii="Calibri" w:cs="Calibri" w:eastAsia="Calibri" w:hAnsi="Calibri"/>
          <w:b/>
          <w:bCs/>
          <w:color w:val="404040"/>
          <w:sz w:val="22"/>
          <w:szCs w:val="22"/>
        </w:rPr>
        <w:t xml:space="preserve">Non-automated emergent pathway preserved</w:t>
      </w:r>
      <w:r>
        <w:rPr>
          <w:rFonts w:ascii="Calibri" w:cs="Calibri" w:eastAsia="Calibri" w:hAnsi="Calibri"/>
          <w:color w:val="404040"/>
          <w:sz w:val="22"/>
          <w:szCs w:val="22"/>
        </w:rPr>
        <w:t xml:space="preserve"> — students with genuine emergent need beyond the five-day allocation may request additional time off through a non-automated pathway involving conversation with Student Affairs; this provision is in the written policy.</w:t>
      </w:r>
    </w:p>
    <w:p>
      <w:pPr>
        <w:pStyle w:val="Heading3"/>
        <w:spacing w:after="80" w:before="180"/>
      </w:pPr>
      <w:r>
        <w:rPr>
          <w:rFonts w:ascii="Calibri" w:cs="Calibri" w:eastAsia="Calibri" w:hAnsi="Calibri"/>
          <w:b/>
          <w:bCs/>
          <w:i/>
          <w:iCs/>
          <w:color w:val="404040"/>
          <w:sz w:val="22"/>
          <w:szCs w:val="22"/>
        </w:rPr>
        <w:t xml:space="preserve">Member Discussion</w:t>
      </w:r>
    </w:p>
    <w:p>
      <w:pPr>
        <w:spacing w:after="120" w:before="0" w:line="276"/>
      </w:pPr>
      <w:r>
        <w:rPr>
          <w:rFonts w:ascii="Calibri" w:cs="Calibri" w:eastAsia="Calibri" w:hAnsi="Calibri"/>
          <w:color w:val="404040"/>
          <w:sz w:val="22"/>
          <w:szCs w:val="22"/>
        </w:rPr>
        <w:t xml:space="preserve">Dr. Thomas asked whether students would still be required to substantiate emergent absences (e.g., physician notes for illness). Dr. Leisman confirmed that the school had previously moved away from physician-note requirements as an equity concern (students with physician family members can readily obtain notes; others cannot) and that this practice will continue under the revised policy.</w:t>
      </w:r>
    </w:p>
    <w:p>
      <w:pPr>
        <w:spacing w:after="120" w:before="0" w:line="276"/>
      </w:pPr>
      <w:r>
        <w:rPr>
          <w:rFonts w:ascii="Calibri" w:cs="Calibri" w:eastAsia="Calibri" w:hAnsi="Calibri"/>
          <w:color w:val="404040"/>
          <w:sz w:val="22"/>
          <w:szCs w:val="22"/>
        </w:rPr>
        <w:t xml:space="preserve">Dr. Tonia Kim shared a recent example from the renal course in which a student who had not used absences during the year took five days at the end of the course, raising the question of whether students might be confused into using all available days. Dr. Leisman acknowledged the observation but noted that students are adults who understand the trade-off; reinforcement at Base Camp and second-year orientation will emphasize that the five-day pool is intended as a buffer, not as paid time off.</w:t>
      </w:r>
    </w:p>
    <w:p>
      <w:pPr>
        <w:spacing w:after="120" w:before="0" w:line="276"/>
      </w:pPr>
      <w:r>
        <w:rPr>
          <w:rFonts w:ascii="Calibri" w:cs="Calibri" w:eastAsia="Calibri" w:hAnsi="Calibri"/>
          <w:color w:val="404040"/>
          <w:sz w:val="22"/>
          <w:szCs w:val="22"/>
        </w:rPr>
        <w:t xml:space="preserve">Dr. Mary Rojas asked why the total allowance had been reduced from seven (5+2) to five. Dr. Leisman and Dr. Fallar attributed the previous seven-day allowance partly to COVID-era flexibility, and noted that 14 absence days across an academic year (plus institutional breaks) was significant. Internal data review indicated that the majority of students were not using all five unplanned days under the previous policy, suggesting that the consolidation would not materially affect most students.</w:t>
      </w:r>
    </w:p>
    <w:p>
      <w:pPr>
        <w:spacing w:after="120" w:before="0" w:line="276"/>
      </w:pPr>
      <w:r>
        <w:rPr>
          <w:rFonts w:ascii="Calibri" w:cs="Calibri" w:eastAsia="Calibri" w:hAnsi="Calibri"/>
          <w:color w:val="404040"/>
          <w:sz w:val="22"/>
          <w:szCs w:val="22"/>
        </w:rPr>
        <w:t xml:space="preserve">Mr. Jamie Frost (M2 student representative) raised the student-perception question: maintaining a total of seven days might be more palatable to the student body even if usage patterns suggest five would suffice. Dr. Leisman responded that the consolidation reflects an intent to position school attendance as a priority while preserving flexibility through the emergent pathway. Ms. Jillian Palmer (Student Affairs) reinforced that students with genuine emergent need beyond the five-day allocation should engage with Student Affairs directly; the school's position is to work with students rather than to penalize emergent absences.</w:t>
      </w:r>
    </w:p>
    <w:p>
      <w:pPr>
        <w:pStyle w:val="Heading3"/>
        <w:spacing w:after="80" w:before="180"/>
      </w:pPr>
      <w:r>
        <w:rPr>
          <w:rFonts w:ascii="Calibri" w:cs="Calibri" w:eastAsia="Calibri" w:hAnsi="Calibri"/>
          <w:b/>
          <w:bCs/>
          <w:i/>
          <w:iCs/>
          <w:color w:val="404040"/>
          <w:sz w:val="22"/>
          <w:szCs w:val="22"/>
        </w:rPr>
        <w:t xml:space="preserve">Vote — Excused Absence Policy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revised Excused Absence Policy for the Phase 1 curriculum (applicable to both Legacy and ASCEND), effective AY 2024–2025.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Motion put by the Acting Chair following discussion.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show of hands. The Acting Chair characterized the disposition of both day-of-business votes as unanimous: "We've had unanimous approval of both policies." Specific tally was not enumerated.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 opposition was raised when the Acting Chair invited dissent.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recorded.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Revised Excused Absence Policy (Phase 1) approved by unanimous show of hands.</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w:t>
      </w:r>
      <w:r>
        <w:rPr>
          <w:rFonts w:ascii="Calibri" w:cs="Calibri" w:eastAsia="Calibri" w:hAnsi="Calibri"/>
          <w:color w:val="404040"/>
          <w:sz w:val="22"/>
          <w:szCs w:val="22"/>
        </w:rPr>
        <w:t xml:space="preserve"> Effective AY 2024–2025, applicable to both Legacy and ASCEND tracks. Office of Pre-Clerkship Education and Office of Student Affairs to communicate the revised policy at Base Camp and at second-year orientation, including the non-automated emergent pathway for circumstances beyond the five-day allocation.</w:t>
      </w:r>
    </w:p>
    <w:p>
      <w:pPr>
        <w:pStyle w:val="Heading1"/>
        <w:pBdr>
          <w:bottom w:val="single" w:color="1F3A5F" w:sz="8" w:space="4"/>
        </w:pBdr>
        <w:spacing w:after="160" w:before="320"/>
      </w:pPr>
      <w:r>
        <w:rPr>
          <w:rFonts w:ascii="Calibri" w:cs="Calibri" w:eastAsia="Calibri" w:hAnsi="Calibri"/>
          <w:b/>
          <w:bCs/>
          <w:color w:val="1F3A5F"/>
          <w:sz w:val="28"/>
          <w:szCs w:val="28"/>
        </w:rPr>
        <w:t xml:space="preserve">7. Summary of Action Items</w:t>
      </w:r>
    </w:p>
    <w:p>
      <w:pPr>
        <w:spacing w:after="120" w:before="0" w:line="276"/>
      </w:pPr>
      <w:r>
        <w:rPr>
          <w:rFonts w:ascii="Calibri" w:cs="Calibri" w:eastAsia="Calibri" w:hAnsi="Calibri"/>
          <w:color w:val="404040"/>
          <w:sz w:val="22"/>
          <w:szCs w:val="22"/>
        </w:rPr>
        <w:t xml:space="preserve">Action items arising from this meeting are recorded in Appendix A (combined action register) at the end of these minutes. The register is the primary documentation record and is updated at each subsequent meeting as items are implemented and closed.</w:t>
      </w:r>
    </w:p>
    <w:p>
      <w:pPr>
        <w:pStyle w:val="Heading1"/>
        <w:pBdr>
          <w:bottom w:val="single" w:color="1F3A5F" w:sz="8" w:space="4"/>
        </w:pBdr>
        <w:spacing w:after="160" w:before="320"/>
      </w:pPr>
      <w:r>
        <w:rPr>
          <w:rFonts w:ascii="Calibri" w:cs="Calibri" w:eastAsia="Calibri" w:hAnsi="Calibri"/>
          <w:b/>
          <w:bCs/>
          <w:color w:val="1F3A5F"/>
          <w:sz w:val="28"/>
          <w:szCs w:val="28"/>
        </w:rPr>
        <w:t xml:space="preserve">8. Next Meeting and Adjournment</w:t>
      </w:r>
    </w:p>
    <w:p>
      <w:pPr>
        <w:spacing w:after="120"/>
      </w:pPr>
      <w:r>
        <w:rPr>
          <w:rFonts w:ascii="Calibri" w:cs="Calibri" w:eastAsia="Calibri" w:hAnsi="Calibri"/>
          <w:b/>
          <w:bCs/>
          <w:color w:val="1F3A5F"/>
          <w:sz w:val="22"/>
          <w:szCs w:val="22"/>
        </w:rPr>
        <w:t xml:space="preserve">Adjournment: </w:t>
      </w:r>
      <w:r>
        <w:rPr>
          <w:rFonts w:ascii="Calibri" w:cs="Calibri" w:eastAsia="Calibri" w:hAnsi="Calibri"/>
          <w:color w:val="404040"/>
          <w:sz w:val="22"/>
          <w:szCs w:val="22"/>
        </w:rPr>
        <w:t xml:space="preserve">There being no further questions or business raised when invited by the Acting Chair, Dr. Fallar declared the meeting adjourned at approximately 12:30 p.m. ET, returning the balance of the meeting time to members. Dr. Fallar noted that additional newly seated members would be formally introduced at the next meeting on July 26, 2024 when the Chair would return.</w:t>
      </w:r>
    </w:p>
    <w:p>
      <w:pPr>
        <w:spacing w:after="120"/>
      </w:pPr>
      <w:r>
        <w:rPr>
          <w:rFonts w:ascii="Calibri" w:cs="Calibri" w:eastAsia="Calibri" w:hAnsi="Calibri"/>
          <w:b/>
          <w:bCs/>
          <w:color w:val="1F3A5F"/>
          <w:sz w:val="22"/>
          <w:szCs w:val="22"/>
        </w:rPr>
        <w:t xml:space="preserve">Next Scheduled Meeting: </w:t>
      </w:r>
      <w:r>
        <w:rPr>
          <w:rFonts w:ascii="Calibri" w:cs="Calibri" w:eastAsia="Calibri" w:hAnsi="Calibri"/>
          <w:color w:val="404040"/>
          <w:sz w:val="22"/>
          <w:szCs w:val="22"/>
        </w:rPr>
        <w:t xml:space="preserve">July 26, 2024</w:t>
      </w:r>
    </w:p>
    <w:p>
      <w:pPr>
        <w:pStyle w:val="Heading1"/>
        <w:pBdr>
          <w:bottom w:val="single" w:color="1F3A5F" w:sz="8" w:space="4"/>
        </w:pBdr>
        <w:spacing w:after="160" w:before="320"/>
      </w:pPr>
      <w:r>
        <w:rPr>
          <w:rFonts w:ascii="Calibri" w:cs="Calibri" w:eastAsia="Calibri" w:hAnsi="Calibri"/>
          <w:b/>
          <w:bCs/>
          <w:color w:val="1F3A5F"/>
          <w:sz w:val="28"/>
          <w:szCs w:val="28"/>
        </w:rPr>
        <w:t xml:space="preserve">9. Attestation</w:t>
      </w:r>
    </w:p>
    <w:p>
      <w:pPr>
        <w:spacing w:after="120" w:before="0" w:line="276"/>
      </w:pPr>
      <w:r>
        <w:rPr>
          <w:rFonts w:ascii="Calibri" w:cs="Calibri" w:eastAsia="Calibri" w:hAnsi="Calibri"/>
          <w:color w:val="404040"/>
          <w:sz w:val="22"/>
          <w:szCs w:val="22"/>
        </w:rPr>
        <w:t xml:space="preserve">These minutes are submitted as an accurate record of the proceedings of the Executive Oversight Committee on July 12, 2024. Minutes are prepared in alignment with LCME Element 8.1 (Curricular Management) documentation expectations and are subject to formal approval by the EOC at its next regular meeting.</w:t>
      </w:r>
    </w:p>
    <w:p>
      <w:pPr>
        <w:spacing w:after="120" w:before="0" w:line="276"/>
      </w:pPr>
    </w:p>
    <w:p>
      <w:pPr>
        <w:spacing w:after="60"/>
      </w:pPr>
      <w:r>
        <w:rPr>
          <w:rFonts w:ascii="Calibri" w:cs="Calibri" w:eastAsia="Calibri" w:hAnsi="Calibri"/>
          <w:b/>
          <w:bCs/>
          <w:color w:val="1F3A5F"/>
          <w:sz w:val="22"/>
          <w:szCs w:val="22"/>
        </w:rPr>
        <w:t xml:space="preserve">Submitted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Recording Secretary, Executive Oversight Committee</w:t>
      </w:r>
    </w:p>
    <w:p>
      <w:pPr>
        <w:spacing w:after="120" w:before="0" w:line="276"/>
      </w:pPr>
    </w:p>
    <w:p>
      <w:pPr>
        <w:spacing w:after="60"/>
      </w:pPr>
      <w:r>
        <w:rPr>
          <w:rFonts w:ascii="Calibri" w:cs="Calibri" w:eastAsia="Calibri" w:hAnsi="Calibri"/>
          <w:b/>
          <w:bCs/>
          <w:color w:val="1F3A5F"/>
          <w:sz w:val="22"/>
          <w:szCs w:val="22"/>
        </w:rPr>
        <w:t xml:space="preserve">Approved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Robert Fallar — Chair, Executive Oversight Committee</w:t>
      </w:r>
    </w:p>
    <w:p>
      <w:pPr>
        <w:spacing w:after="120" w:before="0" w:line="276"/>
      </w:pPr>
    </w:p>
    <w:p>
      <w:pPr>
        <w:spacing w:after="60"/>
      </w:pPr>
      <w:r>
        <w:rPr>
          <w:rFonts w:ascii="Calibri" w:cs="Calibri" w:eastAsia="Calibri" w:hAnsi="Calibri"/>
          <w:b/>
          <w:bCs/>
          <w:color w:val="1F3A5F"/>
          <w:sz w:val="22"/>
          <w:szCs w:val="22"/>
        </w:rPr>
        <w:t xml:space="preserve">Date of Approval: </w:t>
      </w:r>
      <w:r>
        <w:rPr>
          <w:rFonts w:ascii="Calibri" w:cs="Calibri" w:eastAsia="Calibri" w:hAnsi="Calibri"/>
          <w:color w:val="404040"/>
          <w:sz w:val="22"/>
          <w:szCs w:val="22"/>
        </w:rPr>
        <w:t xml:space="preserve">____________________</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3A5F" w:sz="8" w:space="4"/>
        </w:pBdr>
        <w:spacing w:after="160" w:before="320"/>
      </w:pPr>
      <w:r>
        <w:rPr>
          <w:rFonts w:ascii="Calibri" w:cs="Calibri" w:eastAsia="Calibri" w:hAnsi="Calibri"/>
          <w:b/>
          <w:bCs/>
          <w:color w:val="1F3A5F"/>
          <w:sz w:val="28"/>
          <w:szCs w:val="28"/>
        </w:rPr>
        <w:t xml:space="preserve">Appendix A — EOC Combined Action Register</w:t>
      </w:r>
    </w:p>
    <w:p>
      <w:pPr>
        <w:spacing w:after="120" w:before="0" w:line="276"/>
      </w:pPr>
      <w:r>
        <w:rPr>
          <w:rFonts w:ascii="Calibri" w:cs="Calibri" w:eastAsia="Calibri" w:hAnsi="Calibri"/>
          <w:color w:val="404040"/>
          <w:sz w:val="22"/>
          <w:szCs w:val="22"/>
        </w:rPr>
        <w:t xml:space="preserve">This register records all action items arising from the meeting, both educational and operational. It is carried forward at each meeting and updated as items are implemented and closed.</w:t>
      </w:r>
    </w:p>
    <w:p>
      <w:pPr>
        <w:spacing w:after="120" w:before="0" w:line="276"/>
      </w:pPr>
      <w:r>
        <w:rPr>
          <w:rFonts w:ascii="Calibri" w:cs="Calibri" w:eastAsia="Calibri" w:hAnsi="Calibri"/>
          <w:i/>
          <w:iCs/>
          <w:color w:val="404040"/>
          <w:sz w:val="22"/>
          <w:szCs w:val="22"/>
        </w:rPr>
        <w:t xml:space="preserve">Status key:  OPEN (action initiated)  •  IN PROGRESS (work underway)  •  CLOSED (12-month follow-up complete)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1500"/>
        <w:gridCol w:w="1700"/>
        <w:gridCol w:w="1100"/>
        <w:gridCol w:w="18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Action</w:t>
            </w:r>
          </w:p>
        </w:tc>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Description</w:t>
            </w:r>
          </w:p>
        </w:tc>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Owner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LCME Element(s)</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Due / Return</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Status</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Closed-Loop Determination</w:t>
            </w: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JULY 12, 2024  —  Annual Policy Renewals (Phase 1)</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Conflict of Interest in Assessment Policy — Implementation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Implement the codified procedures of the revised Conflict of Interest in Assessment Policy effective AY 2024–2025, including extension of the existing faculty self-attestation mechanism to the pre-clerkship level. Reinforce faculty awareness and applicability in pre-clerkship and clerkship faculty development.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S. Leisman, MD</w:t>
            </w:r>
          </w:p>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1.2 / 11.1 / 12.5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Implementation by Base Camp (July 2024); status to EOC by end of fall semester</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Excused Absence Policy (Phase 1) — Communication and Implementation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Communicate the revised Phase 1 Excused Absence Policy (5-day consolidated allowance; 2-week planned-absence notice; restricted assessment days; non-automated emergent pathway) to students at Base Camp orientation and second-year orientation, applicable to both Legacy and ASCEND tracks. Monitor first-semester utilization to inform any AY 2025–2026 adjustments.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S. Leisman, MD</w:t>
            </w:r>
          </w:p>
          <w:p>
            <w:pPr>
              <w:spacing w:after="40" w:before="40" w:line="276"/>
            </w:pPr>
            <w:r>
              <w:rPr>
                <w:rFonts w:ascii="Calibri" w:cs="Calibri" w:eastAsia="Calibri" w:hAnsi="Calibri"/>
                <w:color w:val="404040"/>
                <w:sz w:val="22"/>
                <w:szCs w:val="22"/>
              </w:rPr>
              <w:t xml:space="preserve">J. Palmer (Office of Student Affairs)</w:t>
            </w:r>
          </w:p>
          <w:p>
            <w:pPr>
              <w:spacing w:after="40" w:before="40" w:line="276"/>
            </w:pPr>
            <w:r>
              <w:rPr>
                <w:rFonts w:ascii="Calibri" w:cs="Calibri" w:eastAsia="Calibri" w:hAnsi="Calibri"/>
                <w:color w:val="404040"/>
                <w:sz w:val="22"/>
                <w:szCs w:val="22"/>
              </w:rPr>
              <w:t xml:space="preserve">Office of Pre-Clerkship Education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10.3 / 12.0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Communication by Base Camp (July 2024); first-semester utilization review at end of fall semester</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Quorum Threshold Reconciliation — AY 2024–2025 EOC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Reconcile the operative AY 2024–2025 EOC voting-seat count and quorum threshold against the bylaws and contemporaneous Faculty Council approvals (Dr. Fallar cited 11 of 22 at this meeting; the corrected era roster has 32 voting seats with quorum 17). Document the authoritative count for the AY 2024–2025 EOC record and apply consistently across remaining meetings of the academic year.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 Shafiq (Project Manager, Curricular Affairs)</w:t>
            </w:r>
          </w:p>
          <w:p>
            <w:pPr>
              <w:spacing w:after="40" w:before="40" w:line="276"/>
            </w:pPr>
            <w:r>
              <w:rPr>
                <w:rFonts w:ascii="Calibri" w:cs="Calibri" w:eastAsia="Calibri" w:hAnsi="Calibri"/>
                <w:color w:val="404040"/>
                <w:sz w:val="22"/>
                <w:szCs w:val="22"/>
              </w:rPr>
              <w:t xml:space="preserve">S. Anand, MEd</w:t>
            </w:r>
          </w:p>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R. Fallar, PhD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Prior to the next EOC meeting (July 26, 2024)</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bl>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July 12, 2024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July 12,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Un-named</cp:lastModifiedBy>
  <cp:revision>1</cp:revision>
  <dcterms:created xsi:type="dcterms:W3CDTF">2026-05-25T14:53:32.019Z</dcterms:created>
  <dcterms:modified xsi:type="dcterms:W3CDTF">2026-05-25T14:53:32.019Z</dcterms:modified>
</cp:coreProperties>
</file>

<file path=docProps/custom.xml><?xml version="1.0" encoding="utf-8"?>
<Properties xmlns="http://schemas.openxmlformats.org/officeDocument/2006/custom-properties" xmlns:vt="http://schemas.openxmlformats.org/officeDocument/2006/docPropsVTypes"/>
</file>