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color w:val="1F3A5F"/>
          <w:sz w:val="44"/>
          <w:szCs w:val="44"/>
        </w:rPr>
        <w:t xml:space="preserve">EXECUTIVE OVERSIGHT COMMITTEE (EOC)</w:t>
      </w:r>
    </w:p>
    <w:p>
      <w:pPr>
        <w:spacing w:after="120" w:before="0"/>
        <w:jc w:val="center"/>
      </w:pPr>
      <w:r>
        <w:rPr>
          <w:rFonts w:ascii="Calibri" w:cs="Calibri" w:eastAsia="Calibri" w:hAnsi="Calibri"/>
          <w:b/>
          <w:bCs/>
          <w:color w:val="1F3A5F"/>
          <w:sz w:val="44"/>
          <w:szCs w:val="44"/>
        </w:rPr>
        <w:t xml:space="preserve">MEETING MINUTES</w:t>
      </w:r>
    </w:p>
    <w:p>
      <w:pPr>
        <w:spacing w:after="240" w:before="0"/>
        <w:jc w:val="center"/>
      </w:pPr>
      <w:r>
        <w:rPr>
          <w:rFonts w:ascii="Calibri" w:cs="Calibri" w:eastAsia="Calibri" w:hAnsi="Calibri"/>
          <w:i/>
          <w:iCs/>
          <w:color w:val="404040"/>
          <w:sz w:val="22"/>
          <w:szCs w:val="22"/>
        </w:rPr>
        <w:t xml:space="preserve">Icahn School of Medicine at Mount Sinai  |  August 23, 2024</w:t>
      </w:r>
    </w:p>
    <w:p>
      <w:pPr>
        <w:pBdr>
          <w:top w:val="single" w:color="C00000" w:sz="6" w:space="4"/>
          <w:bottom w:val="single" w:color="C00000" w:sz="6" w:space="4"/>
        </w:pBdr>
        <w:spacing w:after="240" w:before="0"/>
        <w:jc w:val="center"/>
      </w:pPr>
      <w:r>
        <w:rPr>
          <w:rFonts w:ascii="Calibri" w:cs="Calibri" w:eastAsia="Calibri" w:hAnsi="Calibri"/>
          <w:i/>
          <w:iCs/>
          <w:color w:val="C00000"/>
          <w:sz w:val="20"/>
          <w:szCs w:val="20"/>
        </w:rPr>
        <w:t xml:space="preserve">⚠ Note: The AY 2024–2025 EOC membership roster on file is approximated using the AY 2025–2026 EEC roster as a baseline. Attendance reconciliation against this roster may produce false matches or false absentees; please verify attendance against contemporaneous EOC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Committee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Executive Oversight Committee (EOC)</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Meeting Type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Regular Scheduled Meeting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August 23, 2024 (Friday)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Time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Approximately 12:00 p.m. – 12:45 p.m. ET (meeting concluded earlier than the scheduled end time)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Modality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Zoom (virtual)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Presiding Officer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Robert Fallar — Acting Chair (in the absence of the Chair, Dr. Michelle Francis); Associate Dean for Assessment and Evaluation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Recording Secretary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Fatima Shafiq, Project Manager, Curricular Affairs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Quorum</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Quorum was not affirmatively determined on the record at the call to order; the meeting proceeded as an informational session and no formal motions were taken (the agenda item originally framed as a vote was deferred at the discretion of the Acting Chair). See Section 2 for detail.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Recording</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Zoom transcript on file; reference source for these minutes</w:t>
            </w:r>
          </w:p>
        </w:tc>
      </w:tr>
    </w:tbl>
    <w:p>
      <w:pPr>
        <w:spacing w:after="120" w:before="0" w:line="276"/>
      </w:pPr>
    </w:p>
    <w:p>
      <w:pPr>
        <w:pStyle w:val="Heading1"/>
        <w:pBdr>
          <w:bottom w:val="single" w:color="1F3A5F" w:sz="8" w:space="4"/>
        </w:pBdr>
        <w:spacing w:after="160" w:before="320"/>
      </w:pPr>
      <w:r>
        <w:rPr>
          <w:rFonts w:ascii="Calibri" w:cs="Calibri" w:eastAsia="Calibri" w:hAnsi="Calibri"/>
          <w:b/>
          <w:bCs/>
          <w:color w:val="1F3A5F"/>
          <w:sz w:val="28"/>
          <w:szCs w:val="28"/>
        </w:rPr>
        <w:t xml:space="preserve">1. Attendance</w:t>
      </w:r>
    </w:p>
    <w:p>
      <w:pPr>
        <w:spacing w:after="120" w:before="0" w:line="276"/>
      </w:pPr>
      <w:r>
        <w:rPr>
          <w:rFonts w:ascii="Calibri" w:cs="Calibri" w:eastAsia="Calibri" w:hAnsi="Calibri"/>
          <w:color w:val="404040"/>
          <w:sz w:val="22"/>
          <w:szCs w:val="22"/>
        </w:rPr>
        <w:t xml:space="preserve">Attendance is reported in alignment with LCME Element 8.1 (Curricular Management) documentation expectations. Note: The AY 2024–2025 EOC membership roster on file is approximated using the AY 2025–2026 EEC roster as a baseline. Attendance reconciliation against this roster may produce false matches or false absentees; please verify attendance against contemporaneous EOC records.</w:t>
      </w:r>
    </w:p>
    <w:p>
      <w:pPr>
        <w:pStyle w:val="Heading2"/>
        <w:spacing w:after="120" w:before="240"/>
      </w:pPr>
      <w:r>
        <w:rPr>
          <w:rFonts w:ascii="Calibri" w:cs="Calibri" w:eastAsia="Calibri" w:hAnsi="Calibri"/>
          <w:b/>
          <w:bCs/>
          <w:color w:val="2E5984"/>
          <w:sz w:val="26"/>
          <w:szCs w:val="26"/>
        </w:rPr>
        <w:t xml:space="preserve">Voting Members Present (3)</w:t>
      </w:r>
    </w:p>
    <w:p>
      <w:pPr>
        <w:pStyle w:val="ListParagraph"/>
        <w:numPr>
          <w:ilvl w:val="0"/>
          <w:numId w:val="2"/>
        </w:numPr>
        <w:spacing w:after="40" w:before="0" w:line="276"/>
      </w:pPr>
      <w:r>
        <w:rPr>
          <w:rFonts w:ascii="Calibri" w:cs="Calibri" w:eastAsia="Calibri" w:hAnsi="Calibri"/>
          <w:color w:val="404040"/>
          <w:sz w:val="22"/>
          <w:szCs w:val="22"/>
        </w:rPr>
        <w:t xml:space="preserve">Jamie Frost — Student Representative, M2 (Legacy)</w:t>
      </w:r>
    </w:p>
    <w:p>
      <w:pPr>
        <w:pStyle w:val="ListParagraph"/>
        <w:numPr>
          <w:ilvl w:val="0"/>
          <w:numId w:val="2"/>
        </w:numPr>
        <w:spacing w:after="40" w:before="0" w:line="276"/>
      </w:pPr>
      <w:r>
        <w:rPr>
          <w:rFonts w:ascii="Calibri" w:cs="Calibri" w:eastAsia="Calibri" w:hAnsi="Calibri"/>
          <w:color w:val="404040"/>
          <w:sz w:val="22"/>
          <w:szCs w:val="22"/>
        </w:rPr>
        <w:t xml:space="preserve">Richard Stern, MD — Faculty Educator at Large; Associate Professor – Radiology, Medical Education</w:t>
      </w:r>
    </w:p>
    <w:p>
      <w:pPr>
        <w:pStyle w:val="ListParagraph"/>
        <w:numPr>
          <w:ilvl w:val="0"/>
          <w:numId w:val="2"/>
        </w:numPr>
        <w:spacing w:after="40" w:before="0" w:line="276"/>
      </w:pPr>
      <w:r>
        <w:rPr>
          <w:rFonts w:ascii="Calibri" w:cs="Calibri" w:eastAsia="Calibri" w:hAnsi="Calibri"/>
          <w:color w:val="404040"/>
          <w:sz w:val="22"/>
          <w:szCs w:val="22"/>
        </w:rPr>
        <w:t xml:space="preserve">Kris Alpi, PhD — Associate Dean for Libraries &amp; Information Sciences</w:t>
      </w:r>
    </w:p>
    <w:p>
      <w:pPr>
        <w:pStyle w:val="Heading2"/>
        <w:spacing w:after="120" w:before="240"/>
      </w:pPr>
      <w:r>
        <w:rPr>
          <w:rFonts w:ascii="Calibri" w:cs="Calibri" w:eastAsia="Calibri" w:hAnsi="Calibri"/>
          <w:b/>
          <w:bCs/>
          <w:color w:val="2E5984"/>
          <w:sz w:val="26"/>
          <w:szCs w:val="26"/>
        </w:rPr>
        <w:t xml:space="preserve">Voting Members Absent (17)</w:t>
      </w:r>
    </w:p>
    <w:p>
      <w:pPr>
        <w:pStyle w:val="ListParagraph"/>
        <w:numPr>
          <w:ilvl w:val="0"/>
          <w:numId w:val="2"/>
        </w:numPr>
        <w:spacing w:after="40" w:before="0" w:line="276"/>
      </w:pPr>
      <w:r>
        <w:rPr>
          <w:rFonts w:ascii="Calibri" w:cs="Calibri" w:eastAsia="Calibri" w:hAnsi="Calibri"/>
          <w:color w:val="404040"/>
          <w:sz w:val="22"/>
          <w:szCs w:val="22"/>
        </w:rPr>
        <w:t xml:space="preserve">Michelle Francis, MD — Chair (presiding); Assistant Professor – OB/GYN</w:t>
      </w:r>
    </w:p>
    <w:p>
      <w:pPr>
        <w:pStyle w:val="ListParagraph"/>
        <w:numPr>
          <w:ilvl w:val="0"/>
          <w:numId w:val="2"/>
        </w:numPr>
        <w:spacing w:after="40" w:before="0" w:line="276"/>
      </w:pPr>
      <w:r>
        <w:rPr>
          <w:rFonts w:ascii="Calibri" w:cs="Calibri" w:eastAsia="Calibri" w:hAnsi="Calibri"/>
          <w:color w:val="404040"/>
          <w:sz w:val="22"/>
          <w:szCs w:val="22"/>
        </w:rPr>
        <w:t xml:space="preserve">Ganesh Gunasekaran, MD — Faculty Educator at Large; Section Chief of Hepatobiliary Surgery</w:t>
      </w:r>
    </w:p>
    <w:p>
      <w:pPr>
        <w:pStyle w:val="ListParagraph"/>
        <w:numPr>
          <w:ilvl w:val="0"/>
          <w:numId w:val="2"/>
        </w:numPr>
        <w:spacing w:after="40" w:before="0" w:line="276"/>
      </w:pPr>
      <w:r>
        <w:rPr>
          <w:rFonts w:ascii="Calibri" w:cs="Calibri" w:eastAsia="Calibri" w:hAnsi="Calibri"/>
          <w:color w:val="404040"/>
          <w:sz w:val="22"/>
          <w:szCs w:val="22"/>
        </w:rPr>
        <w:t xml:space="preserve">Eric Kutscher, MD — Faculty Educator at Large; Assistant Professor – General Internal Medicine</w:t>
      </w:r>
    </w:p>
    <w:p>
      <w:pPr>
        <w:pStyle w:val="ListParagraph"/>
        <w:numPr>
          <w:ilvl w:val="0"/>
          <w:numId w:val="2"/>
        </w:numPr>
        <w:spacing w:after="40" w:before="0" w:line="276"/>
      </w:pPr>
      <w:r>
        <w:rPr>
          <w:rFonts w:ascii="Calibri" w:cs="Calibri" w:eastAsia="Calibri" w:hAnsi="Calibri"/>
          <w:color w:val="404040"/>
          <w:sz w:val="22"/>
          <w:szCs w:val="22"/>
        </w:rPr>
        <w:t xml:space="preserve">Arvind Kamthan, MD — Faculty Educator at Large; Associate Professor – Hematology and Medical Oncology</w:t>
      </w:r>
    </w:p>
    <w:p>
      <w:pPr>
        <w:pStyle w:val="ListParagraph"/>
        <w:numPr>
          <w:ilvl w:val="0"/>
          <w:numId w:val="2"/>
        </w:numPr>
        <w:spacing w:after="40" w:before="0" w:line="276"/>
      </w:pPr>
      <w:r>
        <w:rPr>
          <w:rFonts w:ascii="Calibri" w:cs="Calibri" w:eastAsia="Calibri" w:hAnsi="Calibri"/>
          <w:color w:val="404040"/>
          <w:sz w:val="22"/>
          <w:szCs w:val="22"/>
        </w:rPr>
        <w:t xml:space="preserve">Brian Rice, MD — Faculty Educator at Large; Assistant Professor – Hospital Medicine</w:t>
      </w:r>
    </w:p>
    <w:p>
      <w:pPr>
        <w:pStyle w:val="ListParagraph"/>
        <w:numPr>
          <w:ilvl w:val="0"/>
          <w:numId w:val="2"/>
        </w:numPr>
        <w:spacing w:after="40" w:before="0" w:line="276"/>
      </w:pPr>
      <w:r>
        <w:rPr>
          <w:rFonts w:ascii="Calibri" w:cs="Calibri" w:eastAsia="Calibri" w:hAnsi="Calibri"/>
          <w:color w:val="404040"/>
          <w:sz w:val="22"/>
          <w:szCs w:val="22"/>
        </w:rPr>
        <w:t xml:space="preserve">Jessica Reid-Adam, MD — Faculty Educator at Large; Professor – Medical Education, Pediatric</w:t>
      </w:r>
    </w:p>
    <w:p>
      <w:pPr>
        <w:pStyle w:val="ListParagraph"/>
        <w:numPr>
          <w:ilvl w:val="0"/>
          <w:numId w:val="2"/>
        </w:numPr>
        <w:spacing w:after="40" w:before="0" w:line="276"/>
      </w:pPr>
      <w:r>
        <w:rPr>
          <w:rFonts w:ascii="Calibri" w:cs="Calibri" w:eastAsia="Calibri" w:hAnsi="Calibri"/>
          <w:color w:val="404040"/>
          <w:sz w:val="22"/>
          <w:szCs w:val="22"/>
        </w:rPr>
        <w:t xml:space="preserve">Kyunghyun Lee, MD — Faculty Educator at Large; Assistant Professor – Hospital Medicine</w:t>
      </w:r>
    </w:p>
    <w:p>
      <w:pPr>
        <w:pStyle w:val="ListParagraph"/>
        <w:numPr>
          <w:ilvl w:val="0"/>
          <w:numId w:val="2"/>
        </w:numPr>
        <w:spacing w:after="40" w:before="0" w:line="276"/>
      </w:pPr>
      <w:r>
        <w:rPr>
          <w:rFonts w:ascii="Calibri" w:cs="Calibri" w:eastAsia="Calibri" w:hAnsi="Calibri"/>
          <w:color w:val="404040"/>
          <w:sz w:val="22"/>
          <w:szCs w:val="22"/>
        </w:rPr>
        <w:t xml:space="preserve">Sreekala Raghavan, MD — Faculty Educator at Large; Associate Professor – General Internal Medicine, Medical Education</w:t>
      </w:r>
    </w:p>
    <w:p>
      <w:pPr>
        <w:pStyle w:val="ListParagraph"/>
        <w:numPr>
          <w:ilvl w:val="0"/>
          <w:numId w:val="2"/>
        </w:numPr>
        <w:spacing w:after="40" w:before="0" w:line="276"/>
      </w:pPr>
      <w:r>
        <w:rPr>
          <w:rFonts w:ascii="Calibri" w:cs="Calibri" w:eastAsia="Calibri" w:hAnsi="Calibri"/>
          <w:color w:val="404040"/>
          <w:sz w:val="22"/>
          <w:szCs w:val="22"/>
        </w:rPr>
        <w:t xml:space="preserve">Tonia Kim, MD — Faculty Curricular Leader (Phase 1); Module Director (Pre-clerkship)</w:t>
      </w:r>
    </w:p>
    <w:p>
      <w:pPr>
        <w:pStyle w:val="ListParagraph"/>
        <w:numPr>
          <w:ilvl w:val="0"/>
          <w:numId w:val="2"/>
        </w:numPr>
        <w:spacing w:after="40" w:before="0" w:line="276"/>
      </w:pPr>
      <w:r>
        <w:rPr>
          <w:rFonts w:ascii="Calibri" w:cs="Calibri" w:eastAsia="Calibri" w:hAnsi="Calibri"/>
          <w:color w:val="404040"/>
          <w:sz w:val="22"/>
          <w:szCs w:val="22"/>
        </w:rPr>
        <w:t xml:space="preserve">Alexandros Polydorides, MD PhD — Faculty Curricular Leader (Phase 1); Module Director (Pre-clerkship)</w:t>
      </w:r>
    </w:p>
    <w:p>
      <w:pPr>
        <w:pStyle w:val="ListParagraph"/>
        <w:numPr>
          <w:ilvl w:val="0"/>
          <w:numId w:val="2"/>
        </w:numPr>
        <w:spacing w:after="40" w:before="0" w:line="276"/>
      </w:pPr>
      <w:r>
        <w:rPr>
          <w:rFonts w:ascii="Calibri" w:cs="Calibri" w:eastAsia="Calibri" w:hAnsi="Calibri"/>
          <w:color w:val="404040"/>
          <w:sz w:val="22"/>
          <w:szCs w:val="22"/>
        </w:rPr>
        <w:t xml:space="preserve">Eve Merrill, MD — Faculty Curricular Leader (Phase 2); Clerkship Director</w:t>
      </w:r>
    </w:p>
    <w:p>
      <w:pPr>
        <w:pStyle w:val="ListParagraph"/>
        <w:numPr>
          <w:ilvl w:val="0"/>
          <w:numId w:val="2"/>
        </w:numPr>
        <w:spacing w:after="40" w:before="0" w:line="276"/>
      </w:pPr>
      <w:r>
        <w:rPr>
          <w:rFonts w:ascii="Calibri" w:cs="Calibri" w:eastAsia="Calibri" w:hAnsi="Calibri"/>
          <w:color w:val="404040"/>
          <w:sz w:val="22"/>
          <w:szCs w:val="22"/>
        </w:rPr>
        <w:t xml:space="preserve">Cynthia Abraham, MD — Faculty Curricular Leader (Phase 2); Clerkship Director</w:t>
      </w:r>
    </w:p>
    <w:p>
      <w:pPr>
        <w:pStyle w:val="ListParagraph"/>
        <w:numPr>
          <w:ilvl w:val="0"/>
          <w:numId w:val="2"/>
        </w:numPr>
        <w:spacing w:after="40" w:before="0" w:line="276"/>
      </w:pPr>
      <w:r>
        <w:rPr>
          <w:rFonts w:ascii="Calibri" w:cs="Calibri" w:eastAsia="Calibri" w:hAnsi="Calibri"/>
          <w:color w:val="404040"/>
          <w:sz w:val="22"/>
          <w:szCs w:val="22"/>
        </w:rPr>
        <w:t xml:space="preserve">Craig Katz, MD — Career and Professional Development (CaPD) Advisor</w:t>
      </w:r>
    </w:p>
    <w:p>
      <w:pPr>
        <w:pStyle w:val="ListParagraph"/>
        <w:numPr>
          <w:ilvl w:val="0"/>
          <w:numId w:val="2"/>
        </w:numPr>
        <w:spacing w:after="40" w:before="0" w:line="276"/>
      </w:pPr>
      <w:r>
        <w:rPr>
          <w:rFonts w:ascii="Calibri" w:cs="Calibri" w:eastAsia="Calibri" w:hAnsi="Calibri"/>
          <w:color w:val="404040"/>
          <w:sz w:val="22"/>
          <w:szCs w:val="22"/>
        </w:rPr>
        <w:t xml:space="preserve">Vannita Simma-Chiang, MD — Specialty Advisor; Director of Specialty Advising</w:t>
      </w:r>
    </w:p>
    <w:p>
      <w:pPr>
        <w:pStyle w:val="ListParagraph"/>
        <w:numPr>
          <w:ilvl w:val="0"/>
          <w:numId w:val="2"/>
        </w:numPr>
        <w:spacing w:after="40" w:before="0" w:line="276"/>
      </w:pPr>
      <w:r>
        <w:rPr>
          <w:rFonts w:ascii="Calibri" w:cs="Calibri" w:eastAsia="Calibri" w:hAnsi="Calibri"/>
          <w:color w:val="404040"/>
          <w:sz w:val="22"/>
          <w:szCs w:val="22"/>
        </w:rPr>
        <w:t xml:space="preserve">Alan Zhang — Student Representative, M1 (ASCEND Phase 1)</w:t>
      </w:r>
    </w:p>
    <w:p>
      <w:pPr>
        <w:pStyle w:val="ListParagraph"/>
        <w:numPr>
          <w:ilvl w:val="0"/>
          <w:numId w:val="2"/>
        </w:numPr>
        <w:spacing w:after="40" w:before="0" w:line="276"/>
      </w:pPr>
      <w:r>
        <w:rPr>
          <w:rFonts w:ascii="Calibri" w:cs="Calibri" w:eastAsia="Calibri" w:hAnsi="Calibri"/>
          <w:color w:val="404040"/>
          <w:sz w:val="22"/>
          <w:szCs w:val="22"/>
        </w:rPr>
        <w:t xml:space="preserve">Farimata Mbaye — Student Representative, M3 (Legacy)</w:t>
      </w:r>
    </w:p>
    <w:p>
      <w:pPr>
        <w:pStyle w:val="ListParagraph"/>
        <w:numPr>
          <w:ilvl w:val="0"/>
          <w:numId w:val="2"/>
        </w:numPr>
        <w:spacing w:after="40" w:before="0" w:line="276"/>
      </w:pPr>
      <w:r>
        <w:rPr>
          <w:rFonts w:ascii="Calibri" w:cs="Calibri" w:eastAsia="Calibri" w:hAnsi="Calibri"/>
          <w:color w:val="404040"/>
          <w:sz w:val="22"/>
          <w:szCs w:val="22"/>
        </w:rPr>
        <w:t xml:space="preserve">Masih Babagoli — Student Representative, M4 (Legacy)</w:t>
      </w:r>
    </w:p>
    <w:p>
      <w:pPr>
        <w:pStyle w:val="Heading2"/>
        <w:spacing w:after="120" w:before="240"/>
      </w:pPr>
      <w:r>
        <w:rPr>
          <w:rFonts w:ascii="Calibri" w:cs="Calibri" w:eastAsia="Calibri" w:hAnsi="Calibri"/>
          <w:b/>
          <w:bCs/>
          <w:color w:val="2E5984"/>
          <w:sz w:val="26"/>
          <w:szCs w:val="26"/>
        </w:rPr>
        <w:t xml:space="preserve">Guests/Ex Officio Members Present (Non-Voting)</w:t>
      </w:r>
    </w:p>
    <w:p>
      <w:pPr>
        <w:pStyle w:val="ListParagraph"/>
        <w:numPr>
          <w:ilvl w:val="0"/>
          <w:numId w:val="2"/>
        </w:numPr>
        <w:spacing w:after="40" w:before="0" w:line="276"/>
      </w:pPr>
      <w:r>
        <w:rPr>
          <w:rFonts w:ascii="Calibri" w:cs="Calibri" w:eastAsia="Calibri" w:hAnsi="Calibri"/>
          <w:color w:val="404040"/>
          <w:sz w:val="22"/>
          <w:szCs w:val="22"/>
        </w:rPr>
        <w:t xml:space="preserve">Robert Fallar, PhD — Ex Officio; Associate Dean for Assessment and Evaluation</w:t>
      </w:r>
    </w:p>
    <w:p>
      <w:pPr>
        <w:pStyle w:val="ListParagraph"/>
        <w:numPr>
          <w:ilvl w:val="0"/>
          <w:numId w:val="2"/>
        </w:numPr>
        <w:spacing w:after="40" w:before="0" w:line="276"/>
      </w:pPr>
      <w:r>
        <w:rPr>
          <w:rFonts w:ascii="Calibri" w:cs="Calibri" w:eastAsia="Calibri" w:hAnsi="Calibri"/>
          <w:color w:val="404040"/>
          <w:sz w:val="22"/>
          <w:szCs w:val="22"/>
        </w:rPr>
        <w:t xml:space="preserve">Barbara Masi, PhD — Ex Officio; Director of Quality, Compliance, and Accreditation</w:t>
      </w:r>
    </w:p>
    <w:p>
      <w:pPr>
        <w:pStyle w:val="ListParagraph"/>
        <w:numPr>
          <w:ilvl w:val="0"/>
          <w:numId w:val="2"/>
        </w:numPr>
        <w:spacing w:after="40" w:before="0" w:line="276"/>
      </w:pPr>
      <w:r>
        <w:rPr>
          <w:rFonts w:ascii="Calibri" w:cs="Calibri" w:eastAsia="Calibri" w:hAnsi="Calibri"/>
          <w:color w:val="404040"/>
          <w:sz w:val="22"/>
          <w:szCs w:val="22"/>
        </w:rPr>
        <w:t xml:space="preserve">Fatima Shafiq — Operations Team; Project Manager, Curricular Affairs</w:t>
      </w:r>
    </w:p>
    <w:p>
      <w:pPr>
        <w:pStyle w:val="Heading2"/>
        <w:spacing w:after="120" w:before="240"/>
      </w:pPr>
      <w:r>
        <w:rPr>
          <w:rFonts w:ascii="Calibri" w:cs="Calibri" w:eastAsia="Calibri" w:hAnsi="Calibri"/>
          <w:b/>
          <w:bCs/>
          <w:color w:val="2E5984"/>
          <w:sz w:val="26"/>
          <w:szCs w:val="26"/>
        </w:rPr>
        <w:t xml:space="preserve">CA Leadership Present (Non-Voting)</w:t>
      </w:r>
    </w:p>
    <w:p>
      <w:pPr>
        <w:pStyle w:val="ListParagraph"/>
        <w:numPr>
          <w:ilvl w:val="0"/>
          <w:numId w:val="2"/>
        </w:numPr>
        <w:spacing w:after="40" w:before="0" w:line="276"/>
      </w:pPr>
      <w:r>
        <w:rPr>
          <w:rFonts w:ascii="Calibri" w:cs="Calibri" w:eastAsia="Calibri" w:hAnsi="Calibri"/>
          <w:color w:val="404040"/>
          <w:sz w:val="22"/>
          <w:szCs w:val="22"/>
        </w:rPr>
        <w:t xml:space="preserve">Staci Leisman, MD — Chair, Pre-Clerkship Curriculum Subcommittee</w:t>
      </w:r>
    </w:p>
    <w:p>
      <w:pPr>
        <w:pStyle w:val="ListParagraph"/>
        <w:numPr>
          <w:ilvl w:val="0"/>
          <w:numId w:val="2"/>
        </w:numPr>
        <w:spacing w:after="40" w:before="0" w:line="276"/>
      </w:pPr>
      <w:r>
        <w:rPr>
          <w:rFonts w:ascii="Calibri" w:cs="Calibri" w:eastAsia="Calibri" w:hAnsi="Calibri"/>
          <w:color w:val="404040"/>
          <w:sz w:val="22"/>
          <w:szCs w:val="22"/>
        </w:rPr>
        <w:t xml:space="preserve">Teddy Holzer, MD — Chair, Clinical Curriculum Subcommittee</w:t>
      </w:r>
    </w:p>
    <w:p>
      <w:pPr>
        <w:pStyle w:val="Heading2"/>
        <w:spacing w:after="120" w:before="240"/>
      </w:pPr>
      <w:r>
        <w:rPr>
          <w:rFonts w:ascii="Calibri" w:cs="Calibri" w:eastAsia="Calibri" w:hAnsi="Calibri"/>
          <w:b/>
          <w:bCs/>
          <w:color w:val="2E5984"/>
          <w:sz w:val="26"/>
          <w:szCs w:val="26"/>
        </w:rPr>
        <w:t xml:space="preserve">Attendees Pending Roster Verification</w:t>
      </w:r>
    </w:p>
    <w:p>
      <w:pPr>
        <w:spacing w:after="120" w:before="0" w:line="276"/>
      </w:pPr>
      <w:r>
        <w:rPr>
          <w:rFonts w:ascii="Calibri" w:cs="Calibri" w:eastAsia="Calibri" w:hAnsi="Calibri"/>
          <w:i/>
          <w:iCs/>
          <w:color w:val="404040"/>
          <w:sz w:val="22"/>
          <w:szCs w:val="22"/>
        </w:rPr>
        <w:t xml:space="preserve">The following names appeared in the transcript but did not match the EOC membership roster for this era. Verify identity and seat status before finalization.</w:t>
      </w:r>
    </w:p>
    <w:p>
      <w:pPr>
        <w:pStyle w:val="ListParagraph"/>
        <w:numPr>
          <w:ilvl w:val="0"/>
          <w:numId w:val="2"/>
        </w:numPr>
        <w:spacing w:after="40" w:before="0" w:line="276"/>
      </w:pPr>
      <w:r>
        <w:rPr>
          <w:rFonts w:ascii="Calibri" w:cs="Calibri" w:eastAsia="Calibri" w:hAnsi="Calibri"/>
          <w:color w:val="404040"/>
          <w:sz w:val="22"/>
          <w:szCs w:val="22"/>
        </w:rPr>
        <w:t xml:space="preserve">Chantal Pyram-Vincent — Pending verification</w:t>
      </w:r>
    </w:p>
    <w:p>
      <w:pPr>
        <w:pStyle w:val="ListParagraph"/>
        <w:numPr>
          <w:ilvl w:val="0"/>
          <w:numId w:val="2"/>
        </w:numPr>
        <w:spacing w:after="40" w:before="0" w:line="276"/>
      </w:pPr>
      <w:r>
        <w:rPr>
          <w:rFonts w:ascii="Calibri" w:cs="Calibri" w:eastAsia="Calibri" w:hAnsi="Calibri"/>
          <w:color w:val="404040"/>
          <w:sz w:val="22"/>
          <w:szCs w:val="22"/>
        </w:rPr>
        <w:t xml:space="preserve">Avnish Deobhakta — Pending verification</w:t>
      </w:r>
    </w:p>
    <w:p>
      <w:pPr>
        <w:pStyle w:val="Heading1"/>
        <w:pBdr>
          <w:bottom w:val="single" w:color="1F3A5F" w:sz="8" w:space="4"/>
        </w:pBdr>
        <w:spacing w:after="160" w:before="320"/>
      </w:pPr>
      <w:r>
        <w:rPr>
          <w:rFonts w:ascii="Calibri" w:cs="Calibri" w:eastAsia="Calibri" w:hAnsi="Calibri"/>
          <w:b/>
          <w:bCs/>
          <w:color w:val="1F3A5F"/>
          <w:sz w:val="28"/>
          <w:szCs w:val="28"/>
        </w:rPr>
        <w:t xml:space="preserve">2. Call to Order, Quorum, and Approval of Agenda</w:t>
      </w:r>
    </w:p>
    <w:p>
      <w:pPr>
        <w:pStyle w:val="Heading2"/>
        <w:spacing w:after="120" w:before="240"/>
      </w:pPr>
      <w:r>
        <w:rPr>
          <w:rFonts w:ascii="Calibri" w:cs="Calibri" w:eastAsia="Calibri" w:hAnsi="Calibri"/>
          <w:b/>
          <w:bCs/>
          <w:color w:val="2E5984"/>
          <w:sz w:val="26"/>
          <w:szCs w:val="26"/>
        </w:rPr>
        <w:t xml:space="preserve">Call to Order</w:t>
      </w:r>
    </w:p>
    <w:p>
      <w:pPr>
        <w:spacing w:after="120" w:before="0" w:line="276"/>
      </w:pPr>
      <w:r>
        <w:rPr>
          <w:rFonts w:ascii="Calibri" w:cs="Calibri" w:eastAsia="Calibri" w:hAnsi="Calibri"/>
          <w:color w:val="404040"/>
          <w:sz w:val="22"/>
          <w:szCs w:val="22"/>
        </w:rPr>
        <w:t xml:space="preserve">The meeting was convened on Zoom and chaired in this session by Dr. Robert Fallar, Acting Chair, in the absence of the Chair, Dr. Michelle Francis, who was on coverage for three OB/GYN colleagues on the labor and delivery floor at Mount Sinai West. Dr. Fallar opened with the standing item of business, the approval of minutes from the prior EOC meeting (July 26, 2024), and noted that the body of the meeting would proceed as a series of program updates and an annual review item.</w:t>
      </w:r>
    </w:p>
    <w:p>
      <w:pPr>
        <w:pStyle w:val="Heading2"/>
        <w:spacing w:after="120" w:before="240"/>
      </w:pPr>
      <w:r>
        <w:rPr>
          <w:rFonts w:ascii="Calibri" w:cs="Calibri" w:eastAsia="Calibri" w:hAnsi="Calibri"/>
          <w:b/>
          <w:bCs/>
          <w:color w:val="2E5984"/>
          <w:sz w:val="26"/>
          <w:szCs w:val="26"/>
        </w:rPr>
        <w:t xml:space="preserve">Quorum Determination</w:t>
      </w:r>
    </w:p>
    <w:p>
      <w:pPr>
        <w:spacing w:after="120" w:before="0" w:line="276"/>
      </w:pPr>
      <w:r>
        <w:rPr>
          <w:rFonts w:ascii="Calibri" w:cs="Calibri" w:eastAsia="Calibri" w:hAnsi="Calibri"/>
          <w:color w:val="404040"/>
          <w:sz w:val="22"/>
          <w:szCs w:val="22"/>
        </w:rPr>
        <w:t xml:space="preserve">A formal quorum count was not conducted at the call to order. The body of the meeting proceeded as an informational session: minutes were approved by silence (unanimous consent) and the substantive agenda items were taken as updates and discussion only. The agenda item on the placement of three Phase 2/3 clerkships had been framed by the presenter as the formal vote item for the meeting; the Acting Chair deferred the vote and indicated that the item would stand as discussed with feedback to the presenter. No motions were brought to the floor at this meeting.</w:t>
      </w:r>
    </w:p>
    <w:p>
      <w:pPr>
        <w:pStyle w:val="Heading2"/>
        <w:spacing w:after="120" w:before="240"/>
      </w:pPr>
      <w:r>
        <w:rPr>
          <w:rFonts w:ascii="Calibri" w:cs="Calibri" w:eastAsia="Calibri" w:hAnsi="Calibri"/>
          <w:b/>
          <w:bCs/>
          <w:color w:val="2E5984"/>
          <w:sz w:val="26"/>
          <w:szCs w:val="26"/>
        </w:rPr>
        <w:t xml:space="preserve">Approval of Agenda</w:t>
      </w:r>
    </w:p>
    <w:p>
      <w:pPr>
        <w:spacing w:after="120" w:before="0" w:line="276"/>
      </w:pPr>
      <w:r>
        <w:rPr>
          <w:rFonts w:ascii="Calibri" w:cs="Calibri" w:eastAsia="Calibri" w:hAnsi="Calibri"/>
          <w:color w:val="404040"/>
          <w:sz w:val="22"/>
          <w:szCs w:val="22"/>
        </w:rPr>
        <w:t xml:space="preserve">The agenda had been distributed in advance. The Acting Chair confirmed the agenda as circulated and proceeded directly to the standing items. No agenda modifications were proposed.</w:t>
      </w:r>
    </w:p>
    <w:p>
      <w:pPr>
        <w:pStyle w:val="Heading2"/>
        <w:spacing w:after="120" w:before="240"/>
      </w:pPr>
      <w:r>
        <w:rPr>
          <w:rFonts w:ascii="Calibri" w:cs="Calibri" w:eastAsia="Calibri" w:hAnsi="Calibri"/>
          <w:b/>
          <w:bCs/>
          <w:color w:val="2E5984"/>
          <w:sz w:val="26"/>
          <w:szCs w:val="26"/>
        </w:rPr>
        <w:t xml:space="preserve">Approval of Prior Meeting Minutes</w:t>
      </w:r>
    </w:p>
    <w:p>
      <w:pPr>
        <w:spacing w:after="120" w:before="0" w:line="276"/>
      </w:pPr>
      <w:r>
        <w:rPr>
          <w:rFonts w:ascii="Calibri" w:cs="Calibri" w:eastAsia="Calibri" w:hAnsi="Calibri"/>
          <w:color w:val="404040"/>
          <w:sz w:val="22"/>
          <w:szCs w:val="22"/>
        </w:rPr>
        <w:t xml:space="preserve">Ms. Fatima Shafiq posted the minutes from the prior EOC meeting (July 26, 2024) to the meeting chat at the Acting Chair's request. Dr. Fallar invited comments, questions, or corrections to the prior meeting's minutes from the voting members in attendance. None were raised.</w:t>
      </w:r>
    </w:p>
    <w:p>
      <w:pPr>
        <w:spacing w:after="120" w:before="0" w:line="276"/>
      </w:pPr>
      <w:r>
        <w:rPr>
          <w:rFonts w:ascii="Calibri" w:cs="Calibri" w:eastAsia="Calibri" w:hAnsi="Calibri"/>
          <w:b/>
          <w:bCs/>
          <w:color w:val="404040"/>
          <w:sz w:val="22"/>
          <w:szCs w:val="22"/>
        </w:rPr>
        <w:t xml:space="preserve">Outcome:</w:t>
      </w:r>
      <w:r>
        <w:rPr>
          <w:rFonts w:ascii="Calibri" w:cs="Calibri" w:eastAsia="Calibri" w:hAnsi="Calibri"/>
          <w:color w:val="404040"/>
          <w:sz w:val="22"/>
          <w:szCs w:val="22"/>
        </w:rPr>
        <w:t xml:space="preserve"> Minutes from the July 26, 2024 EOC meeting were approved by silence (unanimous consent). The Acting Chair noted on the record that, in the absence of comment or correction, the minutes would be entered as approved.</w:t>
      </w:r>
    </w:p>
    <w:p>
      <w:pPr>
        <w:pStyle w:val="Heading1"/>
        <w:pBdr>
          <w:bottom w:val="single" w:color="1F3A5F" w:sz="8" w:space="4"/>
        </w:pBdr>
        <w:spacing w:after="160" w:before="320"/>
      </w:pPr>
      <w:r>
        <w:rPr>
          <w:rFonts w:ascii="Calibri" w:cs="Calibri" w:eastAsia="Calibri" w:hAnsi="Calibri"/>
          <w:b/>
          <w:bCs/>
          <w:color w:val="1F3A5F"/>
          <w:sz w:val="28"/>
          <w:szCs w:val="28"/>
        </w:rPr>
        <w:t xml:space="preserve">3. Subcommittee Reports</w:t>
      </w:r>
    </w:p>
    <w:p>
      <w:pPr>
        <w:spacing w:after="120" w:before="0" w:line="276"/>
      </w:pPr>
      <w:r>
        <w:rPr>
          <w:rFonts w:ascii="Calibri" w:cs="Calibri" w:eastAsia="Calibri" w:hAnsi="Calibri"/>
          <w:color w:val="404040"/>
          <w:sz w:val="22"/>
          <w:szCs w:val="22"/>
        </w:rPr>
        <w:t xml:space="preserve">Substantive subcommittee-related work was incorporated directly into the agenda items at this meeting. Item 6.2 reflected the work of the Pre-Clerkship Curriculum Subcommittee (PCCS) on the launch of the ASCEND Phase 1 curriculum (Drs. Leisman and Pyram-Vincent), and Item 6.4 reflected the work of the Clinical Curriculum Subcommittee (CCS) on the placement of Phase 2 and Phase 3 clerkships in ASCEND (Dr. Holzer).</w:t>
      </w:r>
    </w:p>
    <w:p>
      <w:pPr>
        <w:pStyle w:val="Heading1"/>
        <w:pBdr>
          <w:bottom w:val="single" w:color="1F3A5F" w:sz="8" w:space="4"/>
        </w:pBdr>
        <w:spacing w:after="160" w:before="320"/>
      </w:pPr>
      <w:r>
        <w:rPr>
          <w:rFonts w:ascii="Calibri" w:cs="Calibri" w:eastAsia="Calibri" w:hAnsi="Calibri"/>
          <w:b/>
          <w:bCs/>
          <w:color w:val="1F3A5F"/>
          <w:sz w:val="28"/>
          <w:szCs w:val="28"/>
        </w:rPr>
        <w:t xml:space="preserve">4. New Business</w:t>
      </w:r>
    </w:p>
    <w:p>
      <w:pPr>
        <w:spacing w:after="120" w:before="0" w:line="276"/>
      </w:pPr>
      <w:r>
        <w:rPr>
          <w:rFonts w:ascii="Calibri" w:cs="Calibri" w:eastAsia="Calibri" w:hAnsi="Calibri"/>
          <w:color w:val="404040"/>
          <w:sz w:val="22"/>
          <w:szCs w:val="22"/>
        </w:rPr>
        <w:t xml:space="preserve">No items beyond the scheduled agenda were brought forward. The Acting Chair invited comment and additional discussion at multiple points; participation was light, which the Acting Chair attributed to it being a mid-August Friday late-morning meeting. The meeting was adjourned approximately fifteen minutes earlier than the scheduled end time.</w:t>
      </w:r>
    </w:p>
    <w:p>
      <w:pPr>
        <w:pStyle w:val="Heading1"/>
        <w:pBdr>
          <w:bottom w:val="single" w:color="1F3A5F" w:sz="8" w:space="4"/>
        </w:pBdr>
        <w:spacing w:after="160" w:before="320"/>
      </w:pPr>
      <w:r>
        <w:rPr>
          <w:rFonts w:ascii="Calibri" w:cs="Calibri" w:eastAsia="Calibri" w:hAnsi="Calibri"/>
          <w:b/>
          <w:bCs/>
          <w:color w:val="1F3A5F"/>
          <w:sz w:val="28"/>
          <w:szCs w:val="28"/>
        </w:rPr>
        <w:t xml:space="preserve">5. Review of Prior Action Items</w:t>
      </w:r>
    </w:p>
    <w:p>
      <w:pPr>
        <w:spacing w:after="120" w:before="0" w:line="276"/>
      </w:pPr>
      <w:r>
        <w:rPr>
          <w:rFonts w:ascii="Calibri" w:cs="Calibri" w:eastAsia="Calibri" w:hAnsi="Calibri"/>
          <w:color w:val="404040"/>
          <w:sz w:val="22"/>
          <w:szCs w:val="22"/>
        </w:rPr>
        <w:t xml:space="preserve">Not raised at this meeting.</w:t>
      </w:r>
    </w:p>
    <w:p>
      <w:pPr>
        <w:pStyle w:val="Heading1"/>
        <w:pBdr>
          <w:bottom w:val="single" w:color="1F3A5F" w:sz="8" w:space="4"/>
        </w:pBdr>
        <w:spacing w:after="160" w:before="320"/>
      </w:pPr>
      <w:r>
        <w:rPr>
          <w:rFonts w:ascii="Calibri" w:cs="Calibri" w:eastAsia="Calibri" w:hAnsi="Calibri"/>
          <w:b/>
          <w:bCs/>
          <w:color w:val="1F3A5F"/>
          <w:sz w:val="28"/>
          <w:szCs w:val="28"/>
        </w:rPr>
        <w:t xml:space="preserve">6. Agenda Items — Review, Discussion, and Voting</w:t>
      </w:r>
    </w:p>
    <w:p>
      <w:pPr>
        <w:pStyle w:val="Heading2"/>
        <w:spacing w:after="120" w:before="280"/>
      </w:pPr>
      <w:r>
        <w:rPr>
          <w:rFonts w:ascii="Calibri" w:cs="Calibri" w:eastAsia="Calibri" w:hAnsi="Calibri"/>
          <w:b/>
          <w:bCs/>
          <w:color w:val="2E5984"/>
          <w:sz w:val="26"/>
          <w:szCs w:val="26"/>
        </w:rPr>
        <w:t xml:space="preserve">6.1  Approval of Minutes — Prior EOC Meeting (July 26, 2024)</w:t>
      </w:r>
    </w:p>
    <w:p>
      <w:pPr>
        <w:spacing w:after="40" w:before="60"/>
      </w:pPr>
      <w:r>
        <w:rPr>
          <w:rFonts w:ascii="Calibri" w:cs="Calibri" w:eastAsia="Calibri" w:hAnsi="Calibri"/>
          <w:b/>
          <w:bCs/>
          <w:color w:val="1F3A5F"/>
          <w:sz w:val="22"/>
          <w:szCs w:val="22"/>
        </w:rPr>
        <w:t xml:space="preserve">Category: </w:t>
      </w:r>
      <w:r>
        <w:rPr>
          <w:rFonts w:ascii="Calibri" w:cs="Calibri" w:eastAsia="Calibri" w:hAnsi="Calibri"/>
          <w:b/>
          <w:bCs/>
          <w:color w:val="404040"/>
          <w:sz w:val="22"/>
          <w:szCs w:val="22"/>
        </w:rPr>
        <w:t xml:space="preserve">[VOTING ITEM]</w:t>
      </w:r>
    </w:p>
    <w:p>
      <w:pPr>
        <w:spacing w:after="120" w:before="0" w:line="276"/>
      </w:pPr>
      <w:r>
        <w:rPr>
          <w:rFonts w:ascii="Calibri" w:cs="Calibri" w:eastAsia="Calibri" w:hAnsi="Calibri"/>
          <w:i/>
          <w:iCs/>
          <w:color w:val="404040"/>
          <w:sz w:val="22"/>
          <w:szCs w:val="22"/>
        </w:rPr>
        <w:t xml:space="preserve">See Section 2 above for the disposition; minutes from the July 26, 2024 EOC meeting were approved by silence (unanimous consent).</w:t>
      </w:r>
    </w:p>
    <w:p>
      <w:pPr>
        <w:pStyle w:val="Heading2"/>
        <w:spacing w:after="120" w:before="280"/>
      </w:pPr>
      <w:r>
        <w:rPr>
          <w:rFonts w:ascii="Calibri" w:cs="Calibri" w:eastAsia="Calibri" w:hAnsi="Calibri"/>
          <w:b/>
          <w:bCs/>
          <w:color w:val="2E5984"/>
          <w:sz w:val="26"/>
          <w:szCs w:val="26"/>
        </w:rPr>
        <w:t xml:space="preserve">6.2  ASCEND Phase 1 Curriculum Launch — Early Cohort Update (Weeks 1–3)</w:t>
      </w:r>
    </w:p>
    <w:p>
      <w:pPr>
        <w:spacing w:after="40" w:before="60"/>
      </w:pPr>
      <w:r>
        <w:rPr>
          <w:rFonts w:ascii="Calibri" w:cs="Calibri" w:eastAsia="Calibri" w:hAnsi="Calibri"/>
          <w:b/>
          <w:bCs/>
          <w:color w:val="1F3A5F"/>
          <w:sz w:val="22"/>
          <w:szCs w:val="22"/>
        </w:rPr>
        <w:t xml:space="preserve">Category: </w:t>
      </w:r>
      <w:r>
        <w:rPr>
          <w:rFonts w:ascii="Calibri" w:cs="Calibri" w:eastAsia="Calibri" w:hAnsi="Calibri"/>
          <w:b/>
          <w:bCs/>
          <w:color w:val="404040"/>
          <w:sz w:val="22"/>
          <w:szCs w:val="22"/>
        </w:rPr>
        <w:t xml:space="preserve">[INFORMATIONAL]</w:t>
      </w:r>
    </w:p>
    <w:p>
      <w:pPr>
        <w:spacing w:after="40" w:before="0"/>
      </w:pPr>
      <w:r>
        <w:rPr>
          <w:rFonts w:ascii="Calibri" w:cs="Calibri" w:eastAsia="Calibri" w:hAnsi="Calibri"/>
          <w:b/>
          <w:bCs/>
          <w:color w:val="1F3A5F"/>
          <w:sz w:val="22"/>
          <w:szCs w:val="22"/>
        </w:rPr>
        <w:t xml:space="preserve">Presenter: </w:t>
      </w:r>
      <w:r>
        <w:rPr>
          <w:rFonts w:ascii="Calibri" w:cs="Calibri" w:eastAsia="Calibri" w:hAnsi="Calibri"/>
          <w:color w:val="404040"/>
          <w:sz w:val="22"/>
          <w:szCs w:val="22"/>
        </w:rPr>
        <w:t xml:space="preserve">Staci Leisman, MD (Chair, Pre-Clerkship Curriculum Subcommittee); Chantal Pyram-Vincent, MD (Module Director, Practice of Medicine 1)</w:t>
      </w:r>
    </w:p>
    <w:p>
      <w:pPr>
        <w:spacing w:after="120" w:before="0"/>
      </w:pPr>
      <w:r>
        <w:rPr>
          <w:rFonts w:ascii="Calibri" w:cs="Calibri" w:eastAsia="Calibri" w:hAnsi="Calibri"/>
          <w:b/>
          <w:bCs/>
          <w:color w:val="1F3A5F"/>
          <w:sz w:val="22"/>
          <w:szCs w:val="22"/>
        </w:rPr>
        <w:t xml:space="preserve">LCME Elements: </w:t>
      </w:r>
      <w:r>
        <w:rPr>
          <w:rFonts w:ascii="Calibri" w:cs="Calibri" w:eastAsia="Calibri" w:hAnsi="Calibri"/>
          <w:color w:val="404040"/>
          <w:sz w:val="22"/>
          <w:szCs w:val="22"/>
        </w:rPr>
        <w:t xml:space="preserve">6.3 — Self-Directed and Lifelong Learning; 8.1 — Curricular Management; 8.4 — Program Evaluation; 9.1 — Preparation of Resident and Non-Faculty Instructors</w:t>
      </w:r>
    </w:p>
    <w:p>
      <w:pPr>
        <w:pStyle w:val="Heading3"/>
        <w:spacing w:after="80" w:before="180"/>
      </w:pPr>
      <w:r>
        <w:rPr>
          <w:rFonts w:ascii="Calibri" w:cs="Calibri" w:eastAsia="Calibri" w:hAnsi="Calibri"/>
          <w:b/>
          <w:bCs/>
          <w:i/>
          <w:iCs/>
          <w:color w:val="404040"/>
          <w:sz w:val="22"/>
          <w:szCs w:val="22"/>
        </w:rPr>
        <w:t xml:space="preserve">Early Cohort Performance and Engagement</w:t>
      </w:r>
    </w:p>
    <w:p>
      <w:pPr>
        <w:spacing w:after="120" w:before="0" w:line="276"/>
      </w:pPr>
      <w:r>
        <w:rPr>
          <w:rFonts w:ascii="Calibri" w:cs="Calibri" w:eastAsia="Calibri" w:hAnsi="Calibri"/>
          <w:color w:val="404040"/>
          <w:sz w:val="22"/>
          <w:szCs w:val="22"/>
        </w:rPr>
        <w:t xml:space="preserve">Dr. Staci Leisman opened with an update on the first three weeks of the ASCEND Phase 1 curriculum (inclusive of Base Camp). Dr. Leisman characterized the early launch as proceeding ahead of expectations: students were initially jolted by the transition to medical school in a pattern Dr. Leisman noted is comparable to the Legacy curriculum experience. Dr. Leisman cited input from Dr. Trevor (Course Director, Structures) confirming that the initial-transition experience does not differ materially from the Legacy curriculum at the equivalent point.</w:t>
      </w:r>
    </w:p>
    <w:p>
      <w:pPr>
        <w:spacing w:after="120" w:before="0" w:line="276"/>
      </w:pPr>
      <w:r>
        <w:rPr>
          <w:rFonts w:ascii="Calibri" w:cs="Calibri" w:eastAsia="Calibri" w:hAnsi="Calibri"/>
          <w:color w:val="404040"/>
          <w:sz w:val="22"/>
          <w:szCs w:val="22"/>
        </w:rPr>
        <w:t xml:space="preserve">Dr. Leisman reported observable early improvement on the Molecular, Cellular, and Genetic Foundations (MCG) module quizzes: students struggled comparatively on the first MCG quiz, but by the second MCG quiz the class average had risen by approximately ten points, indicating that students are adjusting to the assessment cadence. Dr. Leisman noted that Dr. David Beckhofer (course leadership) has commented favorably on student attendance and engagement in the lecture setting; the lecture halls in the new curriculum are larger than those Dr. Beckhofer has previously delivered to under the Legacy curriculum.</w:t>
      </w:r>
    </w:p>
    <w:p>
      <w:pPr>
        <w:spacing w:after="120" w:before="0" w:line="276"/>
      </w:pPr>
      <w:r>
        <w:rPr>
          <w:rFonts w:ascii="Calibri" w:cs="Calibri" w:eastAsia="Calibri" w:hAnsi="Calibri"/>
          <w:color w:val="404040"/>
          <w:sz w:val="22"/>
          <w:szCs w:val="22"/>
        </w:rPr>
        <w:t xml:space="preserve">Dr. Leisman flagged the upcoming weekend's first unproctored NBME-style examination as the next datapoint, indicating that the office is planning for a range of outcomes.</w:t>
      </w:r>
    </w:p>
    <w:p>
      <w:pPr>
        <w:pStyle w:val="Heading3"/>
        <w:spacing w:after="80" w:before="180"/>
      </w:pPr>
      <w:r>
        <w:rPr>
          <w:rFonts w:ascii="Calibri" w:cs="Calibri" w:eastAsia="Calibri" w:hAnsi="Calibri"/>
          <w:b/>
          <w:bCs/>
          <w:i/>
          <w:iCs/>
          <w:color w:val="404040"/>
          <w:sz w:val="22"/>
          <w:szCs w:val="22"/>
        </w:rPr>
        <w:t xml:space="preserve">Practice of Medicine 1 (POM 1) — Module-Level Update</w:t>
      </w:r>
    </w:p>
    <w:p>
      <w:pPr>
        <w:spacing w:after="120" w:before="0" w:line="276"/>
      </w:pPr>
      <w:r>
        <w:rPr>
          <w:rFonts w:ascii="Calibri" w:cs="Calibri" w:eastAsia="Calibri" w:hAnsi="Calibri"/>
          <w:color w:val="404040"/>
          <w:sz w:val="22"/>
          <w:szCs w:val="22"/>
        </w:rPr>
        <w:t xml:space="preserve">Dr. Chantal Pyram-Vincent (anesthesiology; Module Director, POM 1) provided a module-specific update substituting for Dr. Christopher Strother (Director of Clinical Competency), who was on travel. Dr. Pyram-Vincent reported that the early launch of POM 1 has exceeded expectations on content delivery: areas-of-concentration content from the advocacy, social justice, and anti-oppression theme has already been woven into module sessions, as has content on professional identity formation.</w:t>
      </w:r>
    </w:p>
    <w:p>
      <w:pPr>
        <w:spacing w:after="120" w:before="0" w:line="276"/>
      </w:pPr>
      <w:r>
        <w:rPr>
          <w:rFonts w:ascii="Calibri" w:cs="Calibri" w:eastAsia="Calibri" w:hAnsi="Calibri"/>
          <w:color w:val="404040"/>
          <w:sz w:val="22"/>
          <w:szCs w:val="22"/>
        </w:rPr>
        <w:t xml:space="preserve">Dr. Pyram-Vincent reported that the POM 1 faculty cohort has benefited from a substantial summer faculty development effort, the effect of which is that POM session time can now be directed toward delivery design and pedagogy rather than toward instructor onboarding to the content itself, because instructor materials are provided in advance.</w:t>
      </w:r>
    </w:p>
    <w:p>
      <w:pPr>
        <w:spacing w:after="120" w:before="0" w:line="276"/>
      </w:pPr>
      <w:r>
        <w:rPr>
          <w:rFonts w:ascii="Calibri" w:cs="Calibri" w:eastAsia="Calibri" w:hAnsi="Calibri"/>
          <w:color w:val="404040"/>
          <w:sz w:val="22"/>
          <w:szCs w:val="22"/>
        </w:rPr>
        <w:t xml:space="preserve">On student engagement, Dr. Pyram-Vincent cited the prior day's session — in which the first-year cohort created their class personalized oath — as illustrative: notwithstanding that the MCG examination is the following weekend, students volunteered to remain past session time to ratify the final oath, reflecting strong baseline engagement with the course.</w:t>
      </w:r>
    </w:p>
    <w:p>
      <w:pPr>
        <w:spacing w:after="120" w:before="0" w:line="276"/>
      </w:pPr>
      <w:r>
        <w:rPr>
          <w:rFonts w:ascii="Calibri" w:cs="Calibri" w:eastAsia="Calibri" w:hAnsi="Calibri"/>
          <w:color w:val="404040"/>
          <w:sz w:val="22"/>
          <w:szCs w:val="22"/>
        </w:rPr>
        <w:t xml:space="preserve">Dr. Pyram-Vincent identified the current challenges as organizational and communications-oriented rather than content-oriented, attributable to the multi-component nature of POM 1 as a newly launched course. A remediation plan has been identified and is in implementation.</w:t>
      </w:r>
    </w:p>
    <w:p>
      <w:pPr>
        <w:pStyle w:val="Heading3"/>
        <w:spacing w:after="80" w:before="180"/>
      </w:pPr>
      <w:r>
        <w:rPr>
          <w:rFonts w:ascii="Calibri" w:cs="Calibri" w:eastAsia="Calibri" w:hAnsi="Calibri"/>
          <w:b/>
          <w:bCs/>
          <w:i/>
          <w:iCs/>
          <w:color w:val="404040"/>
          <w:sz w:val="22"/>
          <w:szCs w:val="22"/>
        </w:rPr>
        <w:t xml:space="preserve">Outcome and Next Steps</w:t>
      </w:r>
    </w:p>
    <w:p>
      <w:pPr>
        <w:spacing w:after="120" w:before="0" w:line="276"/>
      </w:pPr>
      <w:r>
        <w:rPr>
          <w:rFonts w:ascii="Calibri" w:cs="Calibri" w:eastAsia="Calibri" w:hAnsi="Calibri"/>
          <w:b/>
          <w:bCs/>
          <w:color w:val="404040"/>
          <w:sz w:val="22"/>
          <w:szCs w:val="22"/>
        </w:rPr>
        <w:t xml:space="preserve">Informational; no vote required.</w:t>
      </w:r>
      <w:r>
        <w:rPr>
          <w:rFonts w:ascii="Calibri" w:cs="Calibri" w:eastAsia="Calibri" w:hAnsi="Calibri"/>
          <w:color w:val="404040"/>
          <w:sz w:val="22"/>
          <w:szCs w:val="22"/>
        </w:rPr>
        <w:t xml:space="preserve"> The ASCEND Phase 1 launch is proceeding as expected to date. The first unproctored NBME-style examination this coming weekend, the introduction of Year 2 ASCEND students next week, and ongoing real-time feedback (see Item 6.3) will inform the next update to the EOC.</w:t>
      </w:r>
    </w:p>
    <w:p>
      <w:pPr>
        <w:pStyle w:val="Heading2"/>
        <w:spacing w:after="120" w:before="280"/>
      </w:pPr>
      <w:r>
        <w:rPr>
          <w:rFonts w:ascii="Calibri" w:cs="Calibri" w:eastAsia="Calibri" w:hAnsi="Calibri"/>
          <w:b/>
          <w:bCs/>
          <w:color w:val="2E5984"/>
          <w:sz w:val="26"/>
          <w:szCs w:val="26"/>
        </w:rPr>
        <w:t xml:space="preserve">6.3  Real-Time Feedback System for ASCEND Phase 1 Students</w:t>
      </w:r>
    </w:p>
    <w:p>
      <w:pPr>
        <w:spacing w:after="40" w:before="60"/>
      </w:pPr>
      <w:r>
        <w:rPr>
          <w:rFonts w:ascii="Calibri" w:cs="Calibri" w:eastAsia="Calibri" w:hAnsi="Calibri"/>
          <w:b/>
          <w:bCs/>
          <w:color w:val="1F3A5F"/>
          <w:sz w:val="22"/>
          <w:szCs w:val="22"/>
        </w:rPr>
        <w:t xml:space="preserve">Category: </w:t>
      </w:r>
      <w:r>
        <w:rPr>
          <w:rFonts w:ascii="Calibri" w:cs="Calibri" w:eastAsia="Calibri" w:hAnsi="Calibri"/>
          <w:b/>
          <w:bCs/>
          <w:color w:val="404040"/>
          <w:sz w:val="22"/>
          <w:szCs w:val="22"/>
        </w:rPr>
        <w:t xml:space="preserve">[INFORMATIONAL]</w:t>
      </w:r>
    </w:p>
    <w:p>
      <w:pPr>
        <w:spacing w:after="40" w:before="0"/>
      </w:pPr>
      <w:r>
        <w:rPr>
          <w:rFonts w:ascii="Calibri" w:cs="Calibri" w:eastAsia="Calibri" w:hAnsi="Calibri"/>
          <w:b/>
          <w:bCs/>
          <w:color w:val="1F3A5F"/>
          <w:sz w:val="22"/>
          <w:szCs w:val="22"/>
        </w:rPr>
        <w:t xml:space="preserve">Presenter: </w:t>
      </w:r>
      <w:r>
        <w:rPr>
          <w:rFonts w:ascii="Calibri" w:cs="Calibri" w:eastAsia="Calibri" w:hAnsi="Calibri"/>
          <w:color w:val="404040"/>
          <w:sz w:val="22"/>
          <w:szCs w:val="22"/>
        </w:rPr>
        <w:t xml:space="preserve">Robert Fallar, PhD (Associate Dean for Assessment and Evaluation; Acting Chair)</w:t>
      </w:r>
    </w:p>
    <w:p>
      <w:pPr>
        <w:spacing w:after="120" w:before="0"/>
      </w:pPr>
      <w:r>
        <w:rPr>
          <w:rFonts w:ascii="Calibri" w:cs="Calibri" w:eastAsia="Calibri" w:hAnsi="Calibri"/>
          <w:b/>
          <w:bCs/>
          <w:color w:val="1F3A5F"/>
          <w:sz w:val="22"/>
          <w:szCs w:val="22"/>
        </w:rPr>
        <w:t xml:space="preserve">LCME Elements: </w:t>
      </w:r>
      <w:r>
        <w:rPr>
          <w:rFonts w:ascii="Calibri" w:cs="Calibri" w:eastAsia="Calibri" w:hAnsi="Calibri"/>
          <w:color w:val="404040"/>
          <w:sz w:val="22"/>
          <w:szCs w:val="22"/>
        </w:rPr>
        <w:t xml:space="preserve">1.1 — Strategic Planning and Continuous Quality Improvement; 8.4 — Program Evaluation; 12.3 — Personal Counseling / Well-Being (in part)</w:t>
      </w:r>
    </w:p>
    <w:p>
      <w:pPr>
        <w:pStyle w:val="Heading3"/>
        <w:spacing w:after="80" w:before="180"/>
      </w:pPr>
      <w:r>
        <w:rPr>
          <w:rFonts w:ascii="Calibri" w:cs="Calibri" w:eastAsia="Calibri" w:hAnsi="Calibri"/>
          <w:b/>
          <w:bCs/>
          <w:i/>
          <w:iCs/>
          <w:color w:val="404040"/>
          <w:sz w:val="22"/>
          <w:szCs w:val="22"/>
        </w:rPr>
        <w:t xml:space="preserve">Rationale and Design</w:t>
      </w:r>
    </w:p>
    <w:p>
      <w:pPr>
        <w:spacing w:after="120" w:before="0" w:line="276"/>
      </w:pPr>
      <w:r>
        <w:rPr>
          <w:rFonts w:ascii="Calibri" w:cs="Calibri" w:eastAsia="Calibri" w:hAnsi="Calibri"/>
          <w:color w:val="404040"/>
          <w:sz w:val="22"/>
          <w:szCs w:val="22"/>
        </w:rPr>
        <w:t xml:space="preserve">Dr. Fallar provided context for the introduction of a real-time student-feedback mechanism, drawing on lessons received from NYU School of Medicine in connection with their own new-curriculum launch: namely, that openness to feedback and active solicitation of student input are critical during the launch phase of a new curriculum. While existing feedback pathways — course representatives and end-of-course evaluations — remain in place, neither operates on a real-time cadence.</w:t>
      </w:r>
    </w:p>
    <w:p>
      <w:pPr>
        <w:spacing w:after="120" w:before="0" w:line="276"/>
      </w:pPr>
      <w:r>
        <w:rPr>
          <w:rFonts w:ascii="Calibri" w:cs="Calibri" w:eastAsia="Calibri" w:hAnsi="Calibri"/>
          <w:color w:val="404040"/>
          <w:sz w:val="22"/>
          <w:szCs w:val="22"/>
        </w:rPr>
        <w:t xml:space="preserve">The Office of Curricular Affairs has therefore deployed a three-question feedback instrument designed for rapid response: (1) which class the respondent is in; (2) what is working well; and (3) what could be improved in the learning environment. The instrument is delivered via QR code, with signage posted across the 12th and 13th floors of the Annenberg Building inviting students, faculty, and staff to scan and submit feedback in real time.</w:t>
      </w:r>
    </w:p>
    <w:p>
      <w:pPr>
        <w:pStyle w:val="Heading3"/>
        <w:spacing w:after="80" w:before="180"/>
      </w:pPr>
      <w:r>
        <w:rPr>
          <w:rFonts w:ascii="Calibri" w:cs="Calibri" w:eastAsia="Calibri" w:hAnsi="Calibri"/>
          <w:b/>
          <w:bCs/>
          <w:i/>
          <w:iCs/>
          <w:color w:val="404040"/>
          <w:sz w:val="22"/>
          <w:szCs w:val="22"/>
        </w:rPr>
        <w:t xml:space="preserve">Early Use and Response</w:t>
      </w:r>
    </w:p>
    <w:p>
      <w:pPr>
        <w:spacing w:after="120" w:before="0" w:line="276"/>
      </w:pPr>
      <w:r>
        <w:rPr>
          <w:rFonts w:ascii="Calibri" w:cs="Calibri" w:eastAsia="Calibri" w:hAnsi="Calibri"/>
          <w:color w:val="404040"/>
          <w:sz w:val="22"/>
          <w:szCs w:val="22"/>
        </w:rPr>
        <w:t xml:space="preserve">The feedback instrument was launched the Monday following the first MCG quiz (Week 2 of MCG). The Office received eight responses on the first day and a total of thirteen responses by the end of that week; the responses were predominantly focused on the quiz administration and on MCG content structure.</w:t>
      </w:r>
    </w:p>
    <w:p>
      <w:pPr>
        <w:spacing w:after="120" w:before="0" w:line="276"/>
      </w:pPr>
      <w:r>
        <w:rPr>
          <w:rFonts w:ascii="Calibri" w:cs="Calibri" w:eastAsia="Calibri" w:hAnsi="Calibri"/>
          <w:color w:val="404040"/>
          <w:sz w:val="22"/>
          <w:szCs w:val="22"/>
        </w:rPr>
        <w:t xml:space="preserve">Dr. Beckhofer was provided with the consolidated feedback and corresponded with students directly, including with respect to how future quizzes will align with content delivery. The Office subsequently distributed an email to students the following week acknowledging the feedback received, indicating actions taken, and reaffirming the standing invitation to provide additional input.</w:t>
      </w:r>
    </w:p>
    <w:p>
      <w:pPr>
        <w:spacing w:after="120" w:before="0" w:line="276"/>
      </w:pPr>
      <w:r>
        <w:rPr>
          <w:rFonts w:ascii="Calibri" w:cs="Calibri" w:eastAsia="Calibri" w:hAnsi="Calibri"/>
          <w:color w:val="404040"/>
          <w:sz w:val="22"/>
          <w:szCs w:val="22"/>
        </w:rPr>
        <w:t xml:space="preserve">Week 2 of the instrument's operation yielded no additional feedback responses. The Office is monitoring the survey daily and is preparing to extend the instrument's audience to incorporate Year 2 ASCEND students returning the following week.</w:t>
      </w:r>
    </w:p>
    <w:p>
      <w:pPr>
        <w:pStyle w:val="Heading3"/>
        <w:spacing w:after="80" w:before="180"/>
      </w:pPr>
      <w:r>
        <w:rPr>
          <w:rFonts w:ascii="Calibri" w:cs="Calibri" w:eastAsia="Calibri" w:hAnsi="Calibri"/>
          <w:b/>
          <w:bCs/>
          <w:i/>
          <w:iCs/>
          <w:color w:val="404040"/>
          <w:sz w:val="22"/>
          <w:szCs w:val="22"/>
        </w:rPr>
        <w:t xml:space="preserve">Anonymity</w:t>
      </w:r>
    </w:p>
    <w:p>
      <w:pPr>
        <w:spacing w:after="120" w:before="0" w:line="276"/>
      </w:pPr>
      <w:r>
        <w:rPr>
          <w:rFonts w:ascii="Calibri" w:cs="Calibri" w:eastAsia="Calibri" w:hAnsi="Calibri"/>
          <w:color w:val="404040"/>
          <w:sz w:val="22"/>
          <w:szCs w:val="22"/>
        </w:rPr>
        <w:t xml:space="preserve">Dr. Avnish Deobhakta asked whether responses to the feedback instrument are anonymous. Dr. Fallar confirmed that responses are anonymous. He noted a process artifact identified at the launch of the instrument: SurveyMonkey, the platform used to administer the instrument, captures the originating IP address, and the first batch of responses had appeared to originate from a single IP, raising a concern about a single respondent. Investigation determined that the Mount Sinai institutional network presents to external services (including SurveyMonkey) as a single egress IP, resolving the apparent concentration.</w:t>
      </w:r>
    </w:p>
    <w:p>
      <w:pPr>
        <w:pStyle w:val="Heading3"/>
        <w:spacing w:after="80" w:before="180"/>
      </w:pPr>
      <w:r>
        <w:rPr>
          <w:rFonts w:ascii="Calibri" w:cs="Calibri" w:eastAsia="Calibri" w:hAnsi="Calibri"/>
          <w:b/>
          <w:bCs/>
          <w:i/>
          <w:iCs/>
          <w:color w:val="404040"/>
          <w:sz w:val="22"/>
          <w:szCs w:val="22"/>
        </w:rPr>
        <w:t xml:space="preserve">Complementary Pathway — Med Ed Office Hours</w:t>
      </w:r>
    </w:p>
    <w:p>
      <w:pPr>
        <w:spacing w:after="120" w:before="0" w:line="276"/>
      </w:pPr>
      <w:r>
        <w:rPr>
          <w:rFonts w:ascii="Calibri" w:cs="Calibri" w:eastAsia="Calibri" w:hAnsi="Calibri"/>
          <w:color w:val="404040"/>
          <w:sz w:val="22"/>
          <w:szCs w:val="22"/>
        </w:rPr>
        <w:t xml:space="preserve">Dr. Fallar reported that, as a complement to the QR-code instrument, the Office of Medical Education has instituted Monday open-office hours (4:00 p.m. – 5:00 p.m.) on the 13th floor (1330), at which students may discuss any matter of concern with a rotating panel of Med Ed leadership. The intent is to convene a small group of leaders at each session (rather than the entire leadership team) so that the student is met by a manageable audience. The open hours have been announced in the weekly Office of Student Affairs email to students; the Student Council is also assisting with awareness.</w:t>
      </w:r>
    </w:p>
    <w:p>
      <w:pPr>
        <w:pStyle w:val="Heading3"/>
        <w:spacing w:after="80" w:before="180"/>
      </w:pPr>
      <w:r>
        <w:rPr>
          <w:rFonts w:ascii="Calibri" w:cs="Calibri" w:eastAsia="Calibri" w:hAnsi="Calibri"/>
          <w:b/>
          <w:bCs/>
          <w:i/>
          <w:iCs/>
          <w:color w:val="404040"/>
          <w:sz w:val="22"/>
          <w:szCs w:val="22"/>
        </w:rPr>
        <w:t xml:space="preserve">Outcome and Next Steps</w:t>
      </w:r>
    </w:p>
    <w:p>
      <w:pPr>
        <w:spacing w:after="120" w:before="0" w:line="276"/>
      </w:pPr>
      <w:r>
        <w:rPr>
          <w:rFonts w:ascii="Calibri" w:cs="Calibri" w:eastAsia="Calibri" w:hAnsi="Calibri"/>
          <w:b/>
          <w:bCs/>
          <w:color w:val="404040"/>
          <w:sz w:val="22"/>
          <w:szCs w:val="22"/>
        </w:rPr>
        <w:t xml:space="preserve">Informational; no vote required.</w:t>
      </w:r>
      <w:r>
        <w:rPr>
          <w:rFonts w:ascii="Calibri" w:cs="Calibri" w:eastAsia="Calibri" w:hAnsi="Calibri"/>
          <w:color w:val="404040"/>
          <w:sz w:val="22"/>
          <w:szCs w:val="22"/>
        </w:rPr>
        <w:t xml:space="preserve"> Daily monitoring continues. The instrument will be extended to Year 2 ASCEND students upon their return. Trends will be reported back to the EOC on a recurring basis.</w:t>
      </w:r>
    </w:p>
    <w:p>
      <w:pPr>
        <w:pStyle w:val="Heading2"/>
        <w:spacing w:after="120" w:before="280"/>
      </w:pPr>
      <w:r>
        <w:rPr>
          <w:rFonts w:ascii="Calibri" w:cs="Calibri" w:eastAsia="Calibri" w:hAnsi="Calibri"/>
          <w:b/>
          <w:bCs/>
          <w:color w:val="2E5984"/>
          <w:sz w:val="26"/>
          <w:szCs w:val="26"/>
        </w:rPr>
        <w:t xml:space="preserve">6.4  ASCEND Phase 2 and Phase 3 Clerkship Placement — Chronic Care, Palliative Care, Emergency Medicine, and Acting Internship</w:t>
      </w:r>
    </w:p>
    <w:p>
      <w:pPr>
        <w:spacing w:after="40" w:before="60"/>
      </w:pPr>
      <w:r>
        <w:rPr>
          <w:rFonts w:ascii="Calibri" w:cs="Calibri" w:eastAsia="Calibri" w:hAnsi="Calibri"/>
          <w:b/>
          <w:bCs/>
          <w:color w:val="1F3A5F"/>
          <w:sz w:val="22"/>
          <w:szCs w:val="22"/>
        </w:rPr>
        <w:t xml:space="preserve">Category: </w:t>
      </w:r>
      <w:r>
        <w:rPr>
          <w:rFonts w:ascii="Calibri" w:cs="Calibri" w:eastAsia="Calibri" w:hAnsi="Calibri"/>
          <w:b/>
          <w:bCs/>
          <w:color w:val="404040"/>
          <w:sz w:val="22"/>
          <w:szCs w:val="22"/>
        </w:rPr>
        <w:t xml:space="preserve">[DISCUSSION]</w:t>
      </w:r>
    </w:p>
    <w:p>
      <w:pPr>
        <w:spacing w:after="40" w:before="0"/>
      </w:pPr>
      <w:r>
        <w:rPr>
          <w:rFonts w:ascii="Calibri" w:cs="Calibri" w:eastAsia="Calibri" w:hAnsi="Calibri"/>
          <w:b/>
          <w:bCs/>
          <w:color w:val="1F3A5F"/>
          <w:sz w:val="22"/>
          <w:szCs w:val="22"/>
        </w:rPr>
        <w:t xml:space="preserve">Presenter: </w:t>
      </w:r>
      <w:r>
        <w:rPr>
          <w:rFonts w:ascii="Calibri" w:cs="Calibri" w:eastAsia="Calibri" w:hAnsi="Calibri"/>
          <w:color w:val="404040"/>
          <w:sz w:val="22"/>
          <w:szCs w:val="22"/>
        </w:rPr>
        <w:t xml:space="preserve">Teddy Holzer, MD (Chair, Clinical Curriculum Subcommittee)</w:t>
      </w:r>
    </w:p>
    <w:p>
      <w:pPr>
        <w:spacing w:after="120" w:before="0"/>
      </w:pPr>
      <w:r>
        <w:rPr>
          <w:rFonts w:ascii="Calibri" w:cs="Calibri" w:eastAsia="Calibri" w:hAnsi="Calibri"/>
          <w:b/>
          <w:bCs/>
          <w:color w:val="1F3A5F"/>
          <w:sz w:val="22"/>
          <w:szCs w:val="22"/>
        </w:rPr>
        <w:t xml:space="preserve">LCME Elements: </w:t>
      </w:r>
      <w:r>
        <w:rPr>
          <w:rFonts w:ascii="Calibri" w:cs="Calibri" w:eastAsia="Calibri" w:hAnsi="Calibri"/>
          <w:color w:val="404040"/>
          <w:sz w:val="22"/>
          <w:szCs w:val="22"/>
        </w:rPr>
        <w:t xml:space="preserve">6.1 — Required Clinical Experience; 6.2 — Required Clinical Settings; 6.3 — Self-Directed and Lifelong Learning; 7.6 — Cultural Competence / Health Care Disparities (chronic-care contexts); 8.1 — Curricular Management</w:t>
      </w:r>
    </w:p>
    <w:p>
      <w:pPr>
        <w:pStyle w:val="Heading3"/>
        <w:spacing w:after="80" w:before="180"/>
      </w:pPr>
      <w:r>
        <w:rPr>
          <w:rFonts w:ascii="Calibri" w:cs="Calibri" w:eastAsia="Calibri" w:hAnsi="Calibri"/>
          <w:b/>
          <w:bCs/>
          <w:i/>
          <w:iCs/>
          <w:color w:val="404040"/>
          <w:sz w:val="22"/>
          <w:szCs w:val="22"/>
        </w:rPr>
        <w:t xml:space="preserve">Framing</w:t>
      </w:r>
    </w:p>
    <w:p>
      <w:pPr>
        <w:spacing w:after="120" w:before="0" w:line="276"/>
      </w:pPr>
      <w:r>
        <w:rPr>
          <w:rFonts w:ascii="Calibri" w:cs="Calibri" w:eastAsia="Calibri" w:hAnsi="Calibri"/>
          <w:color w:val="404040"/>
          <w:sz w:val="22"/>
          <w:szCs w:val="22"/>
        </w:rPr>
        <w:t xml:space="preserve">Dr. Teddy Holzer presented an update on the placement, within the ASCEND curriculum, of four clerkship-related offerings that have been discussed previously in this committee but have not been the subject of a formal vote: (1) a new Chronic Care Clerkship, (2) a new Palliative Care Clerkship, (3) the relocation of the Emergency Medicine Clerkship from Year 4 (Phase 3) to Phase 2, and (4) the addition of an Emergency Medicine Acting Internship (AI) offering in Phase 3.</w:t>
      </w:r>
    </w:p>
    <w:p>
      <w:pPr>
        <w:spacing w:after="120" w:before="0" w:line="276"/>
      </w:pPr>
      <w:r>
        <w:rPr>
          <w:rFonts w:ascii="Calibri" w:cs="Calibri" w:eastAsia="Calibri" w:hAnsi="Calibri"/>
          <w:color w:val="404040"/>
          <w:sz w:val="22"/>
          <w:szCs w:val="22"/>
        </w:rPr>
        <w:t xml:space="preserve">Dr. Holzer initially understood the meeting's disposition of this item as a formal vote on the placement of these offerings within the ASCEND curriculum; the Acting Chair, Dr. Fallar, indicated during the discussion that the item would be carried as discussion with feedback to the presenter rather than as a vote at this meeting. The item is recorded as discussed and is not a formal action of the EOC at this date.</w:t>
      </w:r>
    </w:p>
    <w:p>
      <w:pPr>
        <w:pStyle w:val="Heading3"/>
        <w:spacing w:after="80" w:before="180"/>
      </w:pPr>
      <w:r>
        <w:rPr>
          <w:rFonts w:ascii="Calibri" w:cs="Calibri" w:eastAsia="Calibri" w:hAnsi="Calibri"/>
          <w:b/>
          <w:bCs/>
          <w:i/>
          <w:iCs/>
          <w:color w:val="404040"/>
          <w:sz w:val="22"/>
          <w:szCs w:val="22"/>
        </w:rPr>
        <w:t xml:space="preserve">Chronic Care Clerkship (Phase 3)</w:t>
      </w:r>
    </w:p>
    <w:p>
      <w:pPr>
        <w:spacing w:after="120" w:before="0" w:line="276"/>
      </w:pPr>
      <w:r>
        <w:rPr>
          <w:rFonts w:ascii="Calibri" w:cs="Calibri" w:eastAsia="Calibri" w:hAnsi="Calibri"/>
          <w:color w:val="404040"/>
          <w:sz w:val="22"/>
          <w:szCs w:val="22"/>
        </w:rPr>
        <w:t xml:space="preserve">Dr. Holzer described the Chronic Care Clerkship as an eight-week clinical clerkship to be placed in Phase 3 of ASCEND (the integration and transitions phase). The clerkship is intended to develop student competence in chronic-disease management and, importantly, in chronic-disease prevention. The clerkship will draw on the ambulatory components of the Legacy Ambulatory Care and Geriatrics (ACG) Clerkship, which will be retired in ASCEND.</w:t>
      </w:r>
    </w:p>
    <w:p>
      <w:pPr>
        <w:spacing w:after="120" w:before="0" w:line="276"/>
      </w:pPr>
      <w:r>
        <w:rPr>
          <w:rFonts w:ascii="Calibri" w:cs="Calibri" w:eastAsia="Calibri" w:hAnsi="Calibri"/>
          <w:color w:val="404040"/>
          <w:sz w:val="22"/>
          <w:szCs w:val="22"/>
        </w:rPr>
        <w:t xml:space="preserve">Students will apply chronic-disease knowledge and skills in the ambulatory general internal medicine and ambulatory geriatric settings, and will participate in selectives that align the clerkship's content with their developing career interests. Dr. Holzer gave examples: an obstetrics-bound student might elect a women's health clinic selective; a vascular surgery–bound student might elect time in an outpatient cardiology clinic to learn disease-modifying strategies in vascular disease. The clerkship will additionally develop competence in clinical nutrition, sleep medicine, and exercise, and in the interdisciplinary communication and care-planning skills that are central to chronic-disease management.</w:t>
      </w:r>
    </w:p>
    <w:p>
      <w:pPr>
        <w:spacing w:after="120" w:before="0" w:line="276"/>
      </w:pPr>
      <w:r>
        <w:rPr>
          <w:rFonts w:ascii="Calibri" w:cs="Calibri" w:eastAsia="Calibri" w:hAnsi="Calibri"/>
          <w:color w:val="404040"/>
          <w:sz w:val="22"/>
          <w:szCs w:val="22"/>
        </w:rPr>
        <w:t xml:space="preserve">Dr. Holzer stated the rationale for the Phase 3 placement of this clerkship: integration of these knowledge and skill domains and their application to patient care is an advanced skill that benefits from the foundational clinical experience accumulated across Phase 2.</w:t>
      </w:r>
    </w:p>
    <w:p>
      <w:pPr>
        <w:pStyle w:val="Heading3"/>
        <w:spacing w:after="80" w:before="180"/>
      </w:pPr>
      <w:r>
        <w:rPr>
          <w:rFonts w:ascii="Calibri" w:cs="Calibri" w:eastAsia="Calibri" w:hAnsi="Calibri"/>
          <w:b/>
          <w:bCs/>
          <w:i/>
          <w:iCs/>
          <w:color w:val="404040"/>
          <w:sz w:val="22"/>
          <w:szCs w:val="22"/>
        </w:rPr>
        <w:t xml:space="preserve">Palliative Care Clerkship (Standalone)</w:t>
      </w:r>
    </w:p>
    <w:p>
      <w:pPr>
        <w:spacing w:after="120" w:before="0" w:line="276"/>
      </w:pPr>
      <w:r>
        <w:rPr>
          <w:rFonts w:ascii="Calibri" w:cs="Calibri" w:eastAsia="Calibri" w:hAnsi="Calibri"/>
          <w:color w:val="404040"/>
          <w:sz w:val="22"/>
          <w:szCs w:val="22"/>
        </w:rPr>
        <w:t xml:space="preserve">Dr. Holzer described the Palliative Care Clerkship as a two-week, independent standalone clerkship, expanded from the current one-week inpatient palliative-care experience embedded in the ACG Clerkship. The overarching goal is to develop student competence in palliative care, encompassing both end-of-life care and pain management.</w:t>
      </w:r>
    </w:p>
    <w:p>
      <w:pPr>
        <w:spacing w:after="120" w:before="0" w:line="276"/>
      </w:pPr>
      <w:r>
        <w:rPr>
          <w:rFonts w:ascii="Calibri" w:cs="Calibri" w:eastAsia="Calibri" w:hAnsi="Calibri"/>
          <w:color w:val="404040"/>
          <w:sz w:val="22"/>
          <w:szCs w:val="22"/>
        </w:rPr>
        <w:t xml:space="preserve">Dr. Holzer cited two principal rationales. First, residents across specialties consistently report on national surveys that palliative-care competence is critical to their roles, but rate the quality of their pre-residency training in palliative care lower than their training in other areas. Second, ISMMS-internal student feedback on the existing Legacy inpatient palliative-care experience indicates that, while the experience is high-quality, it is largely observational — students watch family meetings rather than participate in hands-on clinical care. The two-week standalone design will be charged to the implementing working group with the explicit objective of increasing the participatory, hands-on dimension of the experience.</w:t>
      </w:r>
    </w:p>
    <w:p>
      <w:pPr>
        <w:pStyle w:val="Heading3"/>
        <w:spacing w:after="80" w:before="180"/>
      </w:pPr>
      <w:r>
        <w:rPr>
          <w:rFonts w:ascii="Calibri" w:cs="Calibri" w:eastAsia="Calibri" w:hAnsi="Calibri"/>
          <w:b/>
          <w:bCs/>
          <w:i/>
          <w:iCs/>
          <w:color w:val="404040"/>
          <w:sz w:val="22"/>
          <w:szCs w:val="22"/>
        </w:rPr>
        <w:t xml:space="preserve">Emergency Medicine Clerkship — Move from Year 4 to Phase 2</w:t>
      </w:r>
    </w:p>
    <w:p>
      <w:pPr>
        <w:spacing w:after="120" w:before="0" w:line="276"/>
      </w:pPr>
      <w:r>
        <w:rPr>
          <w:rFonts w:ascii="Calibri" w:cs="Calibri" w:eastAsia="Calibri" w:hAnsi="Calibri"/>
          <w:color w:val="404040"/>
          <w:sz w:val="22"/>
          <w:szCs w:val="22"/>
        </w:rPr>
        <w:t xml:space="preserve">Dr. Holzer described the proposed relocation of the Emergency Medicine Clerkship from the Year 4 (Phase 3) position it occupies in the Legacy curriculum to a Phase 2 position in ASCEND, as early as the midpoint of the student's second academic year. The Legacy four-week clerkship is positioned as an advanced clinical clerkship for application of clinical knowledge in the emergent setting; the ASCEND Phase 2 positioning will instead emphasize the development of foundational knowledge and skills broadly applicable across clinical settings.</w:t>
      </w:r>
    </w:p>
    <w:p>
      <w:pPr>
        <w:spacing w:after="120" w:before="0" w:line="276"/>
      </w:pPr>
      <w:r>
        <w:rPr>
          <w:rFonts w:ascii="Calibri" w:cs="Calibri" w:eastAsia="Calibri" w:hAnsi="Calibri"/>
          <w:color w:val="404040"/>
          <w:sz w:val="22"/>
          <w:szCs w:val="22"/>
        </w:rPr>
        <w:t xml:space="preserve">Dr. Holzer presented the rationale for the choice of the emergency-department setting as a Phase 2 foundational-skills clerkship: the emergency-department clinical environment combines high patient volume and high patient turnover (creating numerous history-taking and physical-examination opportunities), and a deep bench of educators across the Mount Sinai Health System sites whose physical proximity to learners during shifts supports high-volume, high-feedback practice of clinical skills.</w:t>
      </w:r>
    </w:p>
    <w:p>
      <w:pPr>
        <w:pStyle w:val="Heading3"/>
        <w:spacing w:after="80" w:before="180"/>
      </w:pPr>
      <w:r>
        <w:rPr>
          <w:rFonts w:ascii="Calibri" w:cs="Calibri" w:eastAsia="Calibri" w:hAnsi="Calibri"/>
          <w:b/>
          <w:bCs/>
          <w:i/>
          <w:iCs/>
          <w:color w:val="404040"/>
          <w:sz w:val="22"/>
          <w:szCs w:val="22"/>
        </w:rPr>
        <w:t xml:space="preserve">Emergency Medicine Acting Internship (Phase 3)</w:t>
      </w:r>
    </w:p>
    <w:p>
      <w:pPr>
        <w:spacing w:after="120" w:before="0" w:line="276"/>
      </w:pPr>
      <w:r>
        <w:rPr>
          <w:rFonts w:ascii="Calibri" w:cs="Calibri" w:eastAsia="Calibri" w:hAnsi="Calibri"/>
          <w:color w:val="404040"/>
          <w:sz w:val="22"/>
          <w:szCs w:val="22"/>
        </w:rPr>
        <w:t xml:space="preserve">Dr. Holzer noted that the relocation of the Emergency Medicine Clerkship to Phase 2 creates an unmet need in Phase 3 for an advanced clinical experience for students who are committing to Emergency Medicine as a career specialty. The proposal is therefore to add Emergency Medicine to the current set of Acting Internship (AI) offerings (Medicine, Pediatrics, General Surgery, Surgical Subspecialties) as a fifth option from which students may choose to satisfy the AI graduation requirement. The rationale tracks the purpose of the AI structure, which is to prepare students for the patient care they will be expected to deliver from day one of their PGY-1 year.</w:t>
      </w:r>
    </w:p>
    <w:p>
      <w:pPr>
        <w:pStyle w:val="Heading3"/>
        <w:spacing w:after="80" w:before="180"/>
      </w:pPr>
      <w:r>
        <w:rPr>
          <w:rFonts w:ascii="Calibri" w:cs="Calibri" w:eastAsia="Calibri" w:hAnsi="Calibri"/>
          <w:b/>
          <w:bCs/>
          <w:i/>
          <w:iCs/>
          <w:color w:val="404040"/>
          <w:sz w:val="22"/>
          <w:szCs w:val="22"/>
        </w:rPr>
        <w:t xml:space="preserve">Member Discussion</w:t>
      </w:r>
    </w:p>
    <w:p>
      <w:pPr>
        <w:spacing w:after="120" w:before="0" w:line="276"/>
      </w:pPr>
      <w:r>
        <w:rPr>
          <w:rFonts w:ascii="Calibri" w:cs="Calibri" w:eastAsia="Calibri" w:hAnsi="Calibri"/>
          <w:color w:val="404040"/>
          <w:sz w:val="22"/>
          <w:szCs w:val="22"/>
        </w:rPr>
        <w:t xml:space="preserve">Dr. Avnish Deobhakta asked whether student perspective on the proposed clerkship placements had been heard at this meeting, citing the value of student input on substantive curricular changes. Mr. Jamie Frost (M2 Legacy Student Representative) acknowledged that the proposed structure would not apply to the Legacy curriculum cohorts but indicated that ASCEND first-year students could be consulted as the content is disseminated to that cohort, and that student perspective on the proposals to date appeared favorable. Dr. Holzer added that the implementing working group has had third- and fourth-year (Legacy) student participation in the design process, and that those students — though not personally affected by ASCEND — have brought to the design a curricular-gap perspective that has informed the work.</w:t>
      </w:r>
    </w:p>
    <w:p>
      <w:pPr>
        <w:spacing w:after="120" w:before="0" w:line="276"/>
      </w:pPr>
      <w:r>
        <w:rPr>
          <w:rFonts w:ascii="Calibri" w:cs="Calibri" w:eastAsia="Calibri" w:hAnsi="Calibri"/>
          <w:color w:val="404040"/>
          <w:sz w:val="22"/>
          <w:szCs w:val="22"/>
        </w:rPr>
        <w:t xml:space="preserve">The Acting Chair invited additional comment; none was raised. Dr. Fallar indicated that the item would carry as discussed with the presenter taking feedback into the next iteration of the design, and that a formal vote on placement, if needed, would be returned to the EOC at a subsequent meeting.</w:t>
      </w:r>
    </w:p>
    <w:p>
      <w:pPr>
        <w:pStyle w:val="Heading3"/>
        <w:spacing w:after="80" w:before="180"/>
      </w:pPr>
      <w:r>
        <w:rPr>
          <w:rFonts w:ascii="Calibri" w:cs="Calibri" w:eastAsia="Calibri" w:hAnsi="Calibri"/>
          <w:b/>
          <w:bCs/>
          <w:i/>
          <w:iCs/>
          <w:color w:val="404040"/>
          <w:sz w:val="22"/>
          <w:szCs w:val="22"/>
        </w:rPr>
        <w:t xml:space="preserve">Outcome and Next Steps</w:t>
      </w:r>
    </w:p>
    <w:p>
      <w:pPr>
        <w:spacing w:after="120" w:before="0" w:line="276"/>
      </w:pPr>
      <w:r>
        <w:rPr>
          <w:rFonts w:ascii="Calibri" w:cs="Calibri" w:eastAsia="Calibri" w:hAnsi="Calibri"/>
          <w:b/>
          <w:bCs/>
          <w:color w:val="404040"/>
          <w:sz w:val="22"/>
          <w:szCs w:val="22"/>
        </w:rPr>
        <w:t xml:space="preserve">Discussed; no formal vote at this meeting.</w:t>
      </w:r>
      <w:r>
        <w:rPr>
          <w:rFonts w:ascii="Calibri" w:cs="Calibri" w:eastAsia="Calibri" w:hAnsi="Calibri"/>
          <w:color w:val="404040"/>
          <w:sz w:val="22"/>
          <w:szCs w:val="22"/>
        </w:rPr>
        <w:t xml:space="preserve"> The Acting Chair deferred a formal vote on the placement of these four offerings within the ASCEND curriculum; the item is carried as a discussion item with feedback to the presenter. Should a formal vote be required for the curricular placements before launch, the item will be returned to the EOC. The Clinical Curriculum Subcommittee will continue to engage student perspective, including from ASCEND Year 1 students once the proposals are disseminated to that cohort.</w:t>
      </w:r>
    </w:p>
    <w:p>
      <w:pPr>
        <w:pStyle w:val="Heading2"/>
        <w:spacing w:after="120" w:before="280"/>
      </w:pPr>
      <w:r>
        <w:rPr>
          <w:rFonts w:ascii="Calibri" w:cs="Calibri" w:eastAsia="Calibri" w:hAnsi="Calibri"/>
          <w:b/>
          <w:bCs/>
          <w:color w:val="2E5984"/>
          <w:sz w:val="26"/>
          <w:szCs w:val="26"/>
        </w:rPr>
        <w:t xml:space="preserve">6.5  Annual Review — LCME Element 9.4 (Assessment System): Direct Observation of Patient History and Physical Examination</w:t>
      </w:r>
    </w:p>
    <w:p>
      <w:pPr>
        <w:spacing w:after="40" w:before="60"/>
      </w:pPr>
      <w:r>
        <w:rPr>
          <w:rFonts w:ascii="Calibri" w:cs="Calibri" w:eastAsia="Calibri" w:hAnsi="Calibri"/>
          <w:b/>
          <w:bCs/>
          <w:color w:val="1F3A5F"/>
          <w:sz w:val="22"/>
          <w:szCs w:val="22"/>
        </w:rPr>
        <w:t xml:space="preserve">Category: </w:t>
      </w:r>
      <w:r>
        <w:rPr>
          <w:rFonts w:ascii="Calibri" w:cs="Calibri" w:eastAsia="Calibri" w:hAnsi="Calibri"/>
          <w:b/>
          <w:bCs/>
          <w:color w:val="404040"/>
          <w:sz w:val="22"/>
          <w:szCs w:val="22"/>
        </w:rPr>
        <w:t xml:space="preserve">[INFORMATIONAL]</w:t>
      </w:r>
    </w:p>
    <w:p>
      <w:pPr>
        <w:spacing w:after="40" w:before="0"/>
      </w:pPr>
      <w:r>
        <w:rPr>
          <w:rFonts w:ascii="Calibri" w:cs="Calibri" w:eastAsia="Calibri" w:hAnsi="Calibri"/>
          <w:b/>
          <w:bCs/>
          <w:color w:val="1F3A5F"/>
          <w:sz w:val="22"/>
          <w:szCs w:val="22"/>
        </w:rPr>
        <w:t xml:space="preserve">Presenter: </w:t>
      </w:r>
      <w:r>
        <w:rPr>
          <w:rFonts w:ascii="Calibri" w:cs="Calibri" w:eastAsia="Calibri" w:hAnsi="Calibri"/>
          <w:color w:val="404040"/>
          <w:sz w:val="22"/>
          <w:szCs w:val="22"/>
        </w:rPr>
        <w:t xml:space="preserve">Robert Fallar, PhD (Acting Chair; Associate Dean for Assessment and Evaluation)</w:t>
      </w:r>
    </w:p>
    <w:p>
      <w:pPr>
        <w:spacing w:after="120" w:before="0"/>
      </w:pPr>
      <w:r>
        <w:rPr>
          <w:rFonts w:ascii="Calibri" w:cs="Calibri" w:eastAsia="Calibri" w:hAnsi="Calibri"/>
          <w:b/>
          <w:bCs/>
          <w:color w:val="1F3A5F"/>
          <w:sz w:val="22"/>
          <w:szCs w:val="22"/>
        </w:rPr>
        <w:t xml:space="preserve">LCME Elements: </w:t>
      </w:r>
      <w:r>
        <w:rPr>
          <w:rFonts w:ascii="Calibri" w:cs="Calibri" w:eastAsia="Calibri" w:hAnsi="Calibri"/>
          <w:color w:val="404040"/>
          <w:sz w:val="22"/>
          <w:szCs w:val="22"/>
        </w:rPr>
        <w:t xml:space="preserve">9.4 — Assessment System (focus element for this review); 8.4 — Program Evaluation (data source: AAMC GQ; clerkship-level evaluations)</w:t>
      </w:r>
    </w:p>
    <w:p>
      <w:pPr>
        <w:pStyle w:val="Heading3"/>
        <w:spacing w:after="80" w:before="180"/>
      </w:pPr>
      <w:r>
        <w:rPr>
          <w:rFonts w:ascii="Calibri" w:cs="Calibri" w:eastAsia="Calibri" w:hAnsi="Calibri"/>
          <w:b/>
          <w:bCs/>
          <w:i/>
          <w:iCs/>
          <w:color w:val="404040"/>
          <w:sz w:val="22"/>
          <w:szCs w:val="22"/>
        </w:rPr>
        <w:t xml:space="preserve">Framing — Annual Element Review Process</w:t>
      </w:r>
    </w:p>
    <w:p>
      <w:pPr>
        <w:spacing w:after="120" w:before="0" w:line="276"/>
      </w:pPr>
      <w:r>
        <w:rPr>
          <w:rFonts w:ascii="Calibri" w:cs="Calibri" w:eastAsia="Calibri" w:hAnsi="Calibri"/>
          <w:color w:val="404040"/>
          <w:sz w:val="22"/>
          <w:szCs w:val="22"/>
        </w:rPr>
        <w:t xml:space="preserve">Dr. Fallar introduced this agenda item as the inaugural session in a planned annual cycle of structured EOC review of LCME elements. He noted that LCME accreditation comprises fourteen standards encompassing approximately eighty-three elements; the EOC will periodically review individual elements over time on an annual cadence, with this meeting initiating that review structure. The element selected for this initial review is </w:t>
      </w:r>
      <w:r>
        <w:rPr>
          <w:rFonts w:ascii="Calibri" w:cs="Calibri" w:eastAsia="Calibri" w:hAnsi="Calibri"/>
          <w:b/>
          <w:bCs/>
          <w:color w:val="404040"/>
          <w:sz w:val="22"/>
          <w:szCs w:val="22"/>
        </w:rPr>
        <w:t xml:space="preserve">9.4 (Assessment System)</w:t>
      </w:r>
      <w:r>
        <w:rPr>
          <w:rFonts w:ascii="Calibri" w:cs="Calibri" w:eastAsia="Calibri" w:hAnsi="Calibri"/>
          <w:color w:val="404040"/>
          <w:sz w:val="22"/>
          <w:szCs w:val="22"/>
        </w:rPr>
        <w:t xml:space="preserve">, with specific focus on direct observation of student performance of clinically relevant portions of the history and the physical examination within the core clerkships.</w:t>
      </w:r>
    </w:p>
    <w:p>
      <w:pPr>
        <w:pStyle w:val="Heading3"/>
        <w:spacing w:after="80" w:before="180"/>
      </w:pPr>
      <w:r>
        <w:rPr>
          <w:rFonts w:ascii="Calibri" w:cs="Calibri" w:eastAsia="Calibri" w:hAnsi="Calibri"/>
          <w:b/>
          <w:bCs/>
          <w:i/>
          <w:iCs/>
          <w:color w:val="404040"/>
          <w:sz w:val="22"/>
          <w:szCs w:val="22"/>
        </w:rPr>
        <w:t xml:space="preserve">Historical Context and Two-Stage Remediation</w:t>
      </w:r>
    </w:p>
    <w:p>
      <w:pPr>
        <w:spacing w:after="120" w:before="0" w:line="276"/>
      </w:pPr>
      <w:r>
        <w:rPr>
          <w:rFonts w:ascii="Calibri" w:cs="Calibri" w:eastAsia="Calibri" w:hAnsi="Calibri"/>
          <w:color w:val="404040"/>
          <w:sz w:val="22"/>
          <w:szCs w:val="22"/>
        </w:rPr>
        <w:t xml:space="preserve">Dr. Fallar provided historical context: Element 9.4 in the LCME framework is closely tied to two questions on the annual AAMC Graduation Questionnaire (GQ), which ask graduating students to recall whether they were observed performing the relevant portions of (i) a patient history and (ii) a physical or mental-status examination, in each of their core clerkships. Approximately ten years ago, GQ data for ISMMS showed that in certain clerkships, only approximately half of the graduating cohort recalled having been observed doing these things, raising a compliance concern.</w:t>
      </w:r>
    </w:p>
    <w:p>
      <w:pPr>
        <w:spacing w:after="120" w:before="0" w:line="276"/>
      </w:pPr>
      <w:r>
        <w:rPr>
          <w:rFonts w:ascii="Calibri" w:cs="Calibri" w:eastAsia="Calibri" w:hAnsi="Calibri"/>
          <w:color w:val="404040"/>
          <w:sz w:val="22"/>
          <w:szCs w:val="22"/>
        </w:rPr>
        <w:t xml:space="preserve">Dr. Fallar described the two-stage institutional response. The first response, implemented earlier in the timeline, was to add observation-recall questions to clerkship-level evaluations administered at the end of each rotation in real time, rather than relying on year-4 graduation-questionnaire recall of year-3 experiences. This produced improved but still sub-optimal data. The second response, implemented in approximately the 2019–2020 academic year, was to introduce graded </w:t>
      </w:r>
      <w:r>
        <w:rPr>
          <w:rFonts w:ascii="Calibri" w:cs="Calibri" w:eastAsia="Calibri" w:hAnsi="Calibri"/>
          <w:b/>
          <w:bCs/>
          <w:color w:val="404040"/>
          <w:sz w:val="22"/>
          <w:szCs w:val="22"/>
        </w:rPr>
        <w:t xml:space="preserve">Direct Observation (DO) Exercises</w:t>
      </w:r>
      <w:r>
        <w:rPr>
          <w:rFonts w:ascii="Calibri" w:cs="Calibri" w:eastAsia="Calibri" w:hAnsi="Calibri"/>
          <w:color w:val="404040"/>
          <w:sz w:val="22"/>
          <w:szCs w:val="22"/>
        </w:rPr>
        <w:t xml:space="preserve"> within each clerkship, in which students are observed performing a relevant portion of the history and, separately, a relevant portion of the physical examination. The DO Exercises are administered on campus at the Morchand Center for Clinical Competence and are part of the student's clerkship grade.</w:t>
      </w:r>
    </w:p>
    <w:p>
      <w:pPr>
        <w:pStyle w:val="Heading3"/>
        <w:spacing w:after="80" w:before="180"/>
      </w:pPr>
      <w:r>
        <w:rPr>
          <w:rFonts w:ascii="Calibri" w:cs="Calibri" w:eastAsia="Calibri" w:hAnsi="Calibri"/>
          <w:b/>
          <w:bCs/>
          <w:i/>
          <w:iCs/>
          <w:color w:val="404040"/>
          <w:sz w:val="22"/>
          <w:szCs w:val="22"/>
        </w:rPr>
        <w:t xml:space="preserve">Current Data</w:t>
      </w:r>
    </w:p>
    <w:p>
      <w:pPr>
        <w:spacing w:after="120" w:before="0" w:line="276"/>
      </w:pPr>
      <w:r>
        <w:rPr>
          <w:rFonts w:ascii="Calibri" w:cs="Calibri" w:eastAsia="Calibri" w:hAnsi="Calibri"/>
          <w:color w:val="404040"/>
          <w:sz w:val="22"/>
          <w:szCs w:val="22"/>
        </w:rPr>
        <w:t xml:space="preserve">Dr. Fallar reviewed two data views with the committee. The first view, ISMMS clerkship-level real-time data, reports the percentage of students in each of the seven core clerkships (Year 3) who report being observed performing the relevant portions of the patient history during the rotation; in the most recently completed academic year, nearly all students across all seven core clerkships report having been observed. The second view, AAMC GQ data for the most recent graduating cohort, reports the same construct at year 4; again, nearly all students across the core clerkships report having been observed, and ISMMS reports above national norms in almost every clerkship.</w:t>
      </w:r>
    </w:p>
    <w:p>
      <w:pPr>
        <w:spacing w:after="120" w:before="0" w:line="276"/>
      </w:pPr>
      <w:r>
        <w:rPr>
          <w:rFonts w:ascii="Calibri" w:cs="Calibri" w:eastAsia="Calibri" w:hAnsi="Calibri"/>
          <w:color w:val="404040"/>
          <w:sz w:val="22"/>
          <w:szCs w:val="22"/>
        </w:rPr>
        <w:t xml:space="preserve">The corresponding data for direct observation of the relevant portions of the physical or mental-status examination tracks closely: real-time clerkship data shows that nearly all students report having been observed, and the GQ data shows the same. Dr. Fallar concluded that, on these two specific data points, ISMMS is no longer in the position it was a decade ago and is compliant with the element.</w:t>
      </w:r>
    </w:p>
    <w:p>
      <w:pPr>
        <w:pStyle w:val="Heading3"/>
        <w:spacing w:after="80" w:before="180"/>
      </w:pPr>
      <w:r>
        <w:rPr>
          <w:rFonts w:ascii="Calibri" w:cs="Calibri" w:eastAsia="Calibri" w:hAnsi="Calibri"/>
          <w:b/>
          <w:bCs/>
          <w:i/>
          <w:iCs/>
          <w:color w:val="404040"/>
          <w:sz w:val="22"/>
          <w:szCs w:val="22"/>
        </w:rPr>
        <w:t xml:space="preserve">Member Discussion — Site-Level Variability</w:t>
      </w:r>
    </w:p>
    <w:p>
      <w:pPr>
        <w:spacing w:after="120" w:before="0" w:line="276"/>
      </w:pPr>
      <w:r>
        <w:rPr>
          <w:rFonts w:ascii="Calibri" w:cs="Calibri" w:eastAsia="Calibri" w:hAnsi="Calibri"/>
          <w:color w:val="404040"/>
          <w:sz w:val="22"/>
          <w:szCs w:val="22"/>
        </w:rPr>
        <w:t xml:space="preserve">Dr. Barbara Masi asked whether the data show any clinical-site–level trends when disaggregated, observing that aggregate proportions in the high 90s can sometimes mask site-level concentrations of unobserved students. Dr. Fallar responded that, because the Direct Observation Exercises that satisfy the requirement are administered centrally at the Morchand Center (on campus) and are graded as part of the student's clerkship score, the design itself eliminates site-level variability in the observation event. Dr. Masi confirmed that the DO Exercise is required as a graded element of the clerkship; Dr. Fallar confirmed it is.</w:t>
      </w:r>
    </w:p>
    <w:p>
      <w:pPr>
        <w:pStyle w:val="Heading3"/>
        <w:spacing w:after="80" w:before="180"/>
      </w:pPr>
      <w:r>
        <w:rPr>
          <w:rFonts w:ascii="Calibri" w:cs="Calibri" w:eastAsia="Calibri" w:hAnsi="Calibri"/>
          <w:b/>
          <w:bCs/>
          <w:i/>
          <w:iCs/>
          <w:color w:val="404040"/>
          <w:sz w:val="22"/>
          <w:szCs w:val="22"/>
        </w:rPr>
        <w:t xml:space="preserve">Member Discussion — Why Not 100%?</w:t>
      </w:r>
    </w:p>
    <w:p>
      <w:pPr>
        <w:spacing w:after="120" w:before="0" w:line="276"/>
      </w:pPr>
      <w:r>
        <w:rPr>
          <w:rFonts w:ascii="Calibri" w:cs="Calibri" w:eastAsia="Calibri" w:hAnsi="Calibri"/>
          <w:color w:val="404040"/>
          <w:sz w:val="22"/>
          <w:szCs w:val="22"/>
        </w:rPr>
        <w:t xml:space="preserve">Dr. Richard Stern asked, given that the DO Exercise is a required graded clerkship element, why the GQ-data percentages do not show 100% recall of having been observed. Dr. Fallar acknowledged the question as substantive and offered, in part, that GQ-data recall reflects a year-or-more retrospective recall by students.</w:t>
      </w:r>
    </w:p>
    <w:p>
      <w:pPr>
        <w:spacing w:after="120" w:before="0" w:line="276"/>
      </w:pPr>
      <w:r>
        <w:rPr>
          <w:rFonts w:ascii="Calibri" w:cs="Calibri" w:eastAsia="Calibri" w:hAnsi="Calibri"/>
          <w:color w:val="404040"/>
          <w:sz w:val="22"/>
          <w:szCs w:val="22"/>
        </w:rPr>
        <w:t xml:space="preserve">Dr. Holzer added that the term "direct observation" was deliberately chosen as the formal name for the on-campus exercise so that it would map cleanly onto the GQ question wording, to cue students to recall the exercise rather than to interpret the question as inquiring after observation events on the wards. Dr. Holzer noted that, notwithstanding this design choice, individual students may interpret the GQ question against an internal model of what constitutes "being observed taking a history" that more closely tracks bedside-team observation rather than the Morchand exercise, and that this interpretive variation likely accounts for the residual gap between 100% participation (which is documented) and below-100% GQ-recall.</w:t>
      </w:r>
    </w:p>
    <w:p>
      <w:pPr>
        <w:spacing w:after="120" w:before="0" w:line="276"/>
      </w:pPr>
      <w:r>
        <w:rPr>
          <w:rFonts w:ascii="Calibri" w:cs="Calibri" w:eastAsia="Calibri" w:hAnsi="Calibri"/>
          <w:color w:val="404040"/>
          <w:sz w:val="22"/>
          <w:szCs w:val="22"/>
        </w:rPr>
        <w:t xml:space="preserve">Dr. Stern recommended that the school re-educate students on what the DO Exercise is and how it maps onto the LCME-aligned GQ question wording, in order to reduce the residual interpretive gap. He drew a parallel to graduate medical education, in which the same pattern of "yes the exercise was done, but no the resident did not interpret the question as inquiring after it" has been documented and addressed through deliberate trainee-facing communication. Dr. Fallar concurred and noted that, more broadly, several LCME elements rely heavily on student recall and student perception; this is part of the reason that the school triangulates these data points with other measures, but the underlying recommendation — to make the language clear to students at the time of the exercise — is well-taken.</w:t>
      </w:r>
    </w:p>
    <w:p>
      <w:pPr>
        <w:pStyle w:val="Heading3"/>
        <w:spacing w:after="80" w:before="180"/>
      </w:pPr>
      <w:r>
        <w:rPr>
          <w:rFonts w:ascii="Calibri" w:cs="Calibri" w:eastAsia="Calibri" w:hAnsi="Calibri"/>
          <w:b/>
          <w:bCs/>
          <w:i/>
          <w:iCs/>
          <w:color w:val="404040"/>
          <w:sz w:val="22"/>
          <w:szCs w:val="22"/>
        </w:rPr>
        <w:t xml:space="preserve">Member Discussion — OB/GYN-Specific Pattern</w:t>
      </w:r>
    </w:p>
    <w:p>
      <w:pPr>
        <w:spacing w:after="120" w:before="0" w:line="276"/>
      </w:pPr>
      <w:r>
        <w:rPr>
          <w:rFonts w:ascii="Calibri" w:cs="Calibri" w:eastAsia="Calibri" w:hAnsi="Calibri"/>
          <w:color w:val="404040"/>
          <w:sz w:val="22"/>
          <w:szCs w:val="22"/>
        </w:rPr>
        <w:t xml:space="preserve">Dr. Kris Alpi (Levy Library) raised, on behalf of Dr. Michelle Francis (Chair, OB/GYN) who was not present at this meeting, the observation that the OB/GYN clerkship percentages are visibly lower than the others, and connected this to a prior committee discussion suggesting that the OB/GYN ambulatory care model — repeated continuity visits with the same patient — produces a within-rotation experience in which the relevant portions of the history and physical are not necessarily repeated at every visit, but are rather distributed across the continuity of care. Dr. Alpi suggested that this clinic-floor reality may interact with student interpretation of the GQ question even if the underlying Morchand exercise is in fact being completed.</w:t>
      </w:r>
    </w:p>
    <w:p>
      <w:pPr>
        <w:spacing w:after="120" w:before="0" w:line="276"/>
      </w:pPr>
      <w:r>
        <w:rPr>
          <w:rFonts w:ascii="Calibri" w:cs="Calibri" w:eastAsia="Calibri" w:hAnsi="Calibri"/>
          <w:color w:val="404040"/>
          <w:sz w:val="22"/>
          <w:szCs w:val="22"/>
        </w:rPr>
        <w:t xml:space="preserve">Dr. Fallar noted that OB/GYN consistently rates lowest among clerkships on this question in the AAMC national norms, not only at ISMMS, which provides contextual support for Dr. Alpi's hypothesis. Dr. Alpi concurred and recommended consultation with the OB/GYN clerkship leadership (Dr. Kathy [Walsh] was named) on whether the question wording in the in-rotation evaluation may be modified to disambiguate the Morchand exercise from the clinical experience.</w:t>
      </w:r>
    </w:p>
    <w:p>
      <w:pPr>
        <w:pStyle w:val="Heading3"/>
        <w:spacing w:after="80" w:before="180"/>
      </w:pPr>
      <w:r>
        <w:rPr>
          <w:rFonts w:ascii="Calibri" w:cs="Calibri" w:eastAsia="Calibri" w:hAnsi="Calibri"/>
          <w:b/>
          <w:bCs/>
          <w:i/>
          <w:iCs/>
          <w:color w:val="404040"/>
          <w:sz w:val="22"/>
          <w:szCs w:val="22"/>
        </w:rPr>
        <w:t xml:space="preserve">Member Recommendation — Drill-Down on Adjacent Elements</w:t>
      </w:r>
    </w:p>
    <w:p>
      <w:pPr>
        <w:spacing w:after="120" w:before="0" w:line="276"/>
      </w:pPr>
      <w:r>
        <w:rPr>
          <w:rFonts w:ascii="Calibri" w:cs="Calibri" w:eastAsia="Calibri" w:hAnsi="Calibri"/>
          <w:color w:val="404040"/>
          <w:sz w:val="22"/>
          <w:szCs w:val="22"/>
        </w:rPr>
        <w:t xml:space="preserve">Dr. Masi recommended that subsequent EOC reviews of Element 9.4 incorporate additional drill-down data, including: (i) the specialty-relevance of the observed history and physical examination (for example, whether the history and physical actually performed in the observation aligned with the specialty of the clerkship), and (ii) the assessment scores students received on the DO Exercise (rather than only the binary fact of observation). Dr. Masi noted that this kind of disaggregation often produces "twofers" — useful evidence for several LCME elements simultaneously — and recommended this as a structural approach to subsequent annual reviews.</w:t>
      </w:r>
    </w:p>
    <w:p>
      <w:pPr>
        <w:pStyle w:val="Heading3"/>
        <w:spacing w:after="80" w:before="180"/>
      </w:pPr>
      <w:r>
        <w:rPr>
          <w:rFonts w:ascii="Calibri" w:cs="Calibri" w:eastAsia="Calibri" w:hAnsi="Calibri"/>
          <w:b/>
          <w:bCs/>
          <w:i/>
          <w:iCs/>
          <w:color w:val="404040"/>
          <w:sz w:val="22"/>
          <w:szCs w:val="22"/>
        </w:rPr>
        <w:t xml:space="preserve">Outcome and Next Steps</w:t>
      </w:r>
    </w:p>
    <w:p>
      <w:pPr>
        <w:spacing w:after="120" w:before="0" w:line="276"/>
      </w:pPr>
      <w:r>
        <w:rPr>
          <w:rFonts w:ascii="Calibri" w:cs="Calibri" w:eastAsia="Calibri" w:hAnsi="Calibri"/>
          <w:b/>
          <w:bCs/>
          <w:color w:val="404040"/>
          <w:sz w:val="22"/>
          <w:szCs w:val="22"/>
        </w:rPr>
        <w:t xml:space="preserve">Informational annual review; no vote required.</w:t>
      </w:r>
      <w:r>
        <w:rPr>
          <w:rFonts w:ascii="Calibri" w:cs="Calibri" w:eastAsia="Calibri" w:hAnsi="Calibri"/>
          <w:color w:val="404040"/>
          <w:sz w:val="22"/>
          <w:szCs w:val="22"/>
        </w:rPr>
        <w:t xml:space="preserve"> The committee endorsed Dr. Masi's recommendation for drill-down at the next review of Element 9.4. The Office of Assessment and Evaluation, in coordination with the Office of Curricular Affairs and the OB/GYN clerkship leadership, will examine GQ-question wording reinforcement at the Morchand Center, consult the OB/GYN clerkship leadership on the continuity-care interpretation, and prepare specialty-relevance and DO-score data for subsequent review.</w:t>
      </w:r>
    </w:p>
    <w:p>
      <w:pPr>
        <w:pStyle w:val="Heading1"/>
        <w:pBdr>
          <w:bottom w:val="single" w:color="1F3A5F" w:sz="8" w:space="4"/>
        </w:pBdr>
        <w:spacing w:after="160" w:before="320"/>
      </w:pPr>
      <w:r>
        <w:rPr>
          <w:rFonts w:ascii="Calibri" w:cs="Calibri" w:eastAsia="Calibri" w:hAnsi="Calibri"/>
          <w:b/>
          <w:bCs/>
          <w:color w:val="1F3A5F"/>
          <w:sz w:val="28"/>
          <w:szCs w:val="28"/>
        </w:rPr>
        <w:t xml:space="preserve">7. Summary of Action Items</w:t>
      </w:r>
    </w:p>
    <w:p>
      <w:pPr>
        <w:spacing w:after="120" w:before="0" w:line="276"/>
      </w:pPr>
      <w:r>
        <w:rPr>
          <w:rFonts w:ascii="Calibri" w:cs="Calibri" w:eastAsia="Calibri" w:hAnsi="Calibri"/>
          <w:color w:val="404040"/>
          <w:sz w:val="22"/>
          <w:szCs w:val="22"/>
        </w:rPr>
        <w:t xml:space="preserve">Action items arising from this meeting are recorded in Appendix A (combined action register) at the end of these minutes. The register is the primary documentation record and is updated at each subsequent meeting as items are implemented and closed.</w:t>
      </w:r>
    </w:p>
    <w:p>
      <w:pPr>
        <w:pStyle w:val="Heading1"/>
        <w:pBdr>
          <w:bottom w:val="single" w:color="1F3A5F" w:sz="8" w:space="4"/>
        </w:pBdr>
        <w:spacing w:after="160" w:before="320"/>
      </w:pPr>
      <w:r>
        <w:rPr>
          <w:rFonts w:ascii="Calibri" w:cs="Calibri" w:eastAsia="Calibri" w:hAnsi="Calibri"/>
          <w:b/>
          <w:bCs/>
          <w:color w:val="1F3A5F"/>
          <w:sz w:val="28"/>
          <w:szCs w:val="28"/>
        </w:rPr>
        <w:t xml:space="preserve">8. Next Meeting and Adjournment</w:t>
      </w:r>
    </w:p>
    <w:p>
      <w:pPr>
        <w:spacing w:after="120"/>
      </w:pPr>
      <w:r>
        <w:rPr>
          <w:rFonts w:ascii="Calibri" w:cs="Calibri" w:eastAsia="Calibri" w:hAnsi="Calibri"/>
          <w:b/>
          <w:bCs/>
          <w:color w:val="1F3A5F"/>
          <w:sz w:val="22"/>
          <w:szCs w:val="22"/>
        </w:rPr>
        <w:t xml:space="preserve">Adjournment: </w:t>
      </w:r>
      <w:r>
        <w:rPr>
          <w:rFonts w:ascii="Calibri" w:cs="Calibri" w:eastAsia="Calibri" w:hAnsi="Calibri"/>
          <w:color w:val="404040"/>
          <w:sz w:val="22"/>
          <w:szCs w:val="22"/>
        </w:rPr>
        <w:t xml:space="preserve">There being no further questions or business raised when invited by the Acting Chair, Dr. Fallar declared the meeting adjourned approximately fifteen minutes ahead of the scheduled end time. Dr. Fallar noted that the committee would reconvene at the next scheduled EOC meeting in two weeks.</w:t>
      </w:r>
    </w:p>
    <w:p>
      <w:pPr>
        <w:spacing w:after="120"/>
      </w:pPr>
      <w:r>
        <w:rPr>
          <w:rFonts w:ascii="Calibri" w:cs="Calibri" w:eastAsia="Calibri" w:hAnsi="Calibri"/>
          <w:b/>
          <w:bCs/>
          <w:color w:val="1F3A5F"/>
          <w:sz w:val="22"/>
          <w:szCs w:val="22"/>
        </w:rPr>
        <w:t xml:space="preserve">Next Scheduled Meeting: </w:t>
      </w:r>
      <w:r>
        <w:rPr>
          <w:rFonts w:ascii="Calibri" w:cs="Calibri" w:eastAsia="Calibri" w:hAnsi="Calibri"/>
          <w:color w:val="404040"/>
          <w:sz w:val="22"/>
          <w:szCs w:val="22"/>
        </w:rPr>
        <w:t xml:space="preserve">Next scheduled EOC meeting (date to be confirmed; the Acting Chair indicated "in two weeks")</w:t>
      </w:r>
    </w:p>
    <w:p>
      <w:pPr>
        <w:pStyle w:val="Heading1"/>
        <w:pBdr>
          <w:bottom w:val="single" w:color="1F3A5F" w:sz="8" w:space="4"/>
        </w:pBdr>
        <w:spacing w:after="160" w:before="320"/>
      </w:pPr>
      <w:r>
        <w:rPr>
          <w:rFonts w:ascii="Calibri" w:cs="Calibri" w:eastAsia="Calibri" w:hAnsi="Calibri"/>
          <w:b/>
          <w:bCs/>
          <w:color w:val="1F3A5F"/>
          <w:sz w:val="28"/>
          <w:szCs w:val="28"/>
        </w:rPr>
        <w:t xml:space="preserve">9. Attestation</w:t>
      </w:r>
    </w:p>
    <w:p>
      <w:pPr>
        <w:spacing w:after="120" w:before="0" w:line="276"/>
      </w:pPr>
      <w:r>
        <w:rPr>
          <w:rFonts w:ascii="Calibri" w:cs="Calibri" w:eastAsia="Calibri" w:hAnsi="Calibri"/>
          <w:color w:val="404040"/>
          <w:sz w:val="22"/>
          <w:szCs w:val="22"/>
        </w:rPr>
        <w:t xml:space="preserve">These minutes are submitted as an accurate record of the proceedings of the Executive Oversight Committee on August 23, 2024. Minutes are prepared in alignment with LCME Element 8.1 (Curricular Management) documentation expectations and are subject to formal approval by the EOC at its next regular meeting.</w:t>
      </w:r>
    </w:p>
    <w:p>
      <w:pPr>
        <w:spacing w:after="120" w:before="0" w:line="276"/>
      </w:pPr>
    </w:p>
    <w:p>
      <w:pPr>
        <w:spacing w:after="60"/>
      </w:pPr>
      <w:r>
        <w:rPr>
          <w:rFonts w:ascii="Calibri" w:cs="Calibri" w:eastAsia="Calibri" w:hAnsi="Calibri"/>
          <w:b/>
          <w:bCs/>
          <w:color w:val="1F3A5F"/>
          <w:sz w:val="22"/>
          <w:szCs w:val="22"/>
        </w:rPr>
        <w:t xml:space="preserve">Submitted by: </w:t>
      </w:r>
      <w:r>
        <w:rPr>
          <w:rFonts w:ascii="Calibri" w:cs="Calibri" w:eastAsia="Calibri" w:hAnsi="Calibri"/>
          <w:color w:val="404040"/>
          <w:sz w:val="22"/>
          <w:szCs w:val="22"/>
        </w:rPr>
        <w:t xml:space="preserve">________________________________________</w:t>
      </w:r>
    </w:p>
    <w:p>
      <w:pPr>
        <w:spacing w:after="120" w:before="0" w:line="276"/>
      </w:pPr>
      <w:r>
        <w:rPr>
          <w:rFonts w:ascii="Calibri" w:cs="Calibri" w:eastAsia="Calibri" w:hAnsi="Calibri"/>
          <w:i/>
          <w:iCs/>
          <w:color w:val="404040"/>
          <w:sz w:val="22"/>
          <w:szCs w:val="22"/>
        </w:rPr>
        <w:t xml:space="preserve">Recording Secretary, Executive Oversight Committee</w:t>
      </w:r>
    </w:p>
    <w:p>
      <w:pPr>
        <w:spacing w:after="120" w:before="0" w:line="276"/>
      </w:pPr>
    </w:p>
    <w:p>
      <w:pPr>
        <w:spacing w:after="60"/>
      </w:pPr>
      <w:r>
        <w:rPr>
          <w:rFonts w:ascii="Calibri" w:cs="Calibri" w:eastAsia="Calibri" w:hAnsi="Calibri"/>
          <w:b/>
          <w:bCs/>
          <w:color w:val="1F3A5F"/>
          <w:sz w:val="22"/>
          <w:szCs w:val="22"/>
        </w:rPr>
        <w:t xml:space="preserve">Approved by: </w:t>
      </w:r>
      <w:r>
        <w:rPr>
          <w:rFonts w:ascii="Calibri" w:cs="Calibri" w:eastAsia="Calibri" w:hAnsi="Calibri"/>
          <w:color w:val="404040"/>
          <w:sz w:val="22"/>
          <w:szCs w:val="22"/>
        </w:rPr>
        <w:t xml:space="preserve">________________________________________</w:t>
      </w:r>
    </w:p>
    <w:p>
      <w:pPr>
        <w:spacing w:after="120" w:before="0" w:line="276"/>
      </w:pPr>
      <w:r>
        <w:rPr>
          <w:rFonts w:ascii="Calibri" w:cs="Calibri" w:eastAsia="Calibri" w:hAnsi="Calibri"/>
          <w:i/>
          <w:iCs/>
          <w:color w:val="404040"/>
          <w:sz w:val="22"/>
          <w:szCs w:val="22"/>
        </w:rPr>
        <w:t xml:space="preserve">Robert Fallar — Chair, Executive Oversight Committee</w:t>
      </w:r>
    </w:p>
    <w:p>
      <w:pPr>
        <w:spacing w:after="120" w:before="0" w:line="276"/>
      </w:pPr>
    </w:p>
    <w:p>
      <w:pPr>
        <w:spacing w:after="60"/>
      </w:pPr>
      <w:r>
        <w:rPr>
          <w:rFonts w:ascii="Calibri" w:cs="Calibri" w:eastAsia="Calibri" w:hAnsi="Calibri"/>
          <w:b/>
          <w:bCs/>
          <w:color w:val="1F3A5F"/>
          <w:sz w:val="22"/>
          <w:szCs w:val="22"/>
        </w:rPr>
        <w:t xml:space="preserve">Date of Approval: </w:t>
      </w:r>
      <w:r>
        <w:rPr>
          <w:rFonts w:ascii="Calibri" w:cs="Calibri" w:eastAsia="Calibri" w:hAnsi="Calibri"/>
          <w:color w:val="404040"/>
          <w:sz w:val="22"/>
          <w:szCs w:val="22"/>
        </w:rPr>
        <w:t xml:space="preserve">____________________</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Bdr>
          <w:bottom w:val="single" w:color="1F3A5F" w:sz="8" w:space="4"/>
        </w:pBdr>
        <w:spacing w:after="160" w:before="320"/>
      </w:pPr>
      <w:r>
        <w:rPr>
          <w:rFonts w:ascii="Calibri" w:cs="Calibri" w:eastAsia="Calibri" w:hAnsi="Calibri"/>
          <w:b/>
          <w:bCs/>
          <w:color w:val="1F3A5F"/>
          <w:sz w:val="28"/>
          <w:szCs w:val="28"/>
        </w:rPr>
        <w:t xml:space="preserve">Appendix A — EOC Combined Action Register</w:t>
      </w:r>
    </w:p>
    <w:p>
      <w:pPr>
        <w:spacing w:after="120" w:before="0" w:line="276"/>
      </w:pPr>
      <w:r>
        <w:rPr>
          <w:rFonts w:ascii="Calibri" w:cs="Calibri" w:eastAsia="Calibri" w:hAnsi="Calibri"/>
          <w:color w:val="404040"/>
          <w:sz w:val="22"/>
          <w:szCs w:val="22"/>
        </w:rPr>
        <w:t xml:space="preserve">This register records all action items arising from the meeting, both educational and operational. It is carried forward at each meeting and updated as items are implemented and closed.</w:t>
      </w:r>
    </w:p>
    <w:p>
      <w:pPr>
        <w:spacing w:after="120" w:before="0" w:line="276"/>
      </w:pPr>
      <w:r>
        <w:rPr>
          <w:rFonts w:ascii="Calibri" w:cs="Calibri" w:eastAsia="Calibri" w:hAnsi="Calibri"/>
          <w:i/>
          <w:iCs/>
          <w:color w:val="404040"/>
          <w:sz w:val="22"/>
          <w:szCs w:val="22"/>
        </w:rPr>
        <w:t xml:space="preserve">Status key:  OPEN (action initiated)  •  IN PROGRESS (work underway)  •  CLOSED (12-month follow-up complete)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1900"/>
        <w:gridCol w:w="1500"/>
        <w:gridCol w:w="1700"/>
        <w:gridCol w:w="1100"/>
        <w:gridCol w:w="1860"/>
      </w:tblGrid>
      <w:tr>
        <w:trPr>
          <w:tblHeader/>
        </w:trPr>
        <w:tc>
          <w:tcPr>
            <w:tcW w:type="dxa" w:w="1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Action</w:t>
            </w:r>
          </w:p>
        </w:tc>
        <w:tc>
          <w:tcPr>
            <w:tcW w:type="dxa" w:w="3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Description</w:t>
            </w:r>
          </w:p>
        </w:tc>
        <w:tc>
          <w:tcPr>
            <w:tcW w:type="dxa" w:w="19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Owner</w:t>
            </w:r>
          </w:p>
        </w:tc>
        <w:tc>
          <w:tcPr>
            <w:tcW w:type="dxa" w:w="15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LCME Element(s)</w:t>
            </w:r>
          </w:p>
        </w:tc>
        <w:tc>
          <w:tcPr>
            <w:tcW w:type="dxa" w:w="1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Due / Return</w:t>
            </w:r>
          </w:p>
        </w:tc>
        <w:tc>
          <w:tcPr>
            <w:tcW w:type="dxa" w:w="11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Status</w:t>
            </w:r>
          </w:p>
        </w:tc>
        <w:tc>
          <w:tcPr>
            <w:tcW w:type="dxa" w:w="18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Closed-Loop Determination</w:t>
            </w:r>
          </w:p>
        </w:tc>
      </w:tr>
      <w:tr>
        <w:tc>
          <w:tcPr>
            <w:tcW w:type="dxa" w:w="12960"/>
            <w:gridSpan w:val="7"/>
            <w:tcBorders>
              <w:top w:val="single" w:color="BFBFBF" w:sz="4"/>
              <w:left w:val="single" w:color="BFBFBF" w:sz="4"/>
              <w:bottom w:val="single" w:color="BFBFBF" w:sz="4"/>
              <w:right w:val="single" w:color="BFBFBF" w:sz="4"/>
            </w:tcBorders>
            <w:shd w:fill="2E5984" w:val="clear"/>
            <w:tcMar>
              <w:top w:type="dxa" w:w="60"/>
              <w:left w:type="dxa" w:w="120"/>
              <w:bottom w:type="dxa" w:w="60"/>
              <w:right w:type="dxa" w:w="120"/>
            </w:tcMar>
          </w:tcPr>
          <w:p>
            <w:pPr>
              <w:spacing w:after="40" w:before="40" w:line="276"/>
            </w:pPr>
            <w:r>
              <w:rPr>
                <w:rFonts w:ascii="Calibri" w:cs="Calibri" w:eastAsia="Calibri" w:hAnsi="Calibri"/>
                <w:b/>
                <w:bCs/>
                <w:color w:val="FFFFFF"/>
                <w:sz w:val="22"/>
                <w:szCs w:val="22"/>
              </w:rPr>
              <w:t xml:space="preserve">AUGUST 23, 2024  —  ASCEND Phase 1 Launch (Monitoring)</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ASCEND Phase 1 — First Unproctored NBME-Style Examination Monitoring</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Review outcomes of the first unproctored NBME-style examination administered to the AY 2024–2025 ASCEND Year 1 cohort (weekend of August 24–25, 2024). Report results to the EOC at the next regular meeting alongside the MCG-quiz performance trajectory documented to date.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S. Leisman, MD</w:t>
            </w:r>
          </w:p>
          <w:p>
            <w:pPr>
              <w:spacing w:after="40" w:before="40" w:line="276"/>
            </w:pPr>
            <w:r>
              <w:rPr>
                <w:rFonts w:ascii="Calibri" w:cs="Calibri" w:eastAsia="Calibri" w:hAnsi="Calibri"/>
                <w:color w:val="404040"/>
                <w:sz w:val="22"/>
                <w:szCs w:val="22"/>
              </w:rPr>
              <w:t xml:space="preserve">R. Fallar, PhD</w:t>
            </w:r>
          </w:p>
          <w:p>
            <w:pPr>
              <w:spacing w:after="40" w:before="40" w:line="276"/>
            </w:pPr>
            <w:r>
              <w:rPr>
                <w:rFonts w:ascii="Calibri" w:cs="Calibri" w:eastAsia="Calibri" w:hAnsi="Calibri"/>
                <w:color w:val="404040"/>
                <w:sz w:val="22"/>
                <w:szCs w:val="22"/>
              </w:rPr>
              <w:t xml:space="preserve">Pre-Clerkship Education Office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8.4 / 9.4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Next EOC meeting</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POM 1 — Organization and Communication Workstream</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Continue the implementation of the organizational and communications remediation plan identified by the POM 1 module leadership. Surface outcomes to the EOC at the next program update.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C. Strother, MD</w:t>
            </w:r>
          </w:p>
          <w:p>
            <w:pPr>
              <w:spacing w:after="40" w:before="40" w:line="276"/>
            </w:pPr>
            <w:r>
              <w:rPr>
                <w:rFonts w:ascii="Calibri" w:cs="Calibri" w:eastAsia="Calibri" w:hAnsi="Calibri"/>
                <w:color w:val="404040"/>
                <w:sz w:val="22"/>
                <w:szCs w:val="22"/>
              </w:rPr>
              <w:t xml:space="preserve">C. Pyram-Vincent, MD</w:t>
            </w:r>
          </w:p>
          <w:p>
            <w:pPr>
              <w:spacing w:after="40" w:before="40" w:line="276"/>
            </w:pPr>
            <w:r>
              <w:rPr>
                <w:rFonts w:ascii="Calibri" w:cs="Calibri" w:eastAsia="Calibri" w:hAnsi="Calibri"/>
                <w:color w:val="404040"/>
                <w:sz w:val="22"/>
                <w:szCs w:val="22"/>
              </w:rPr>
              <w:t xml:space="preserve">M. Hirscher, MD</w:t>
            </w:r>
          </w:p>
          <w:p>
            <w:pPr>
              <w:spacing w:after="40" w:before="40" w:line="276"/>
            </w:pPr>
            <w:r>
              <w:rPr>
                <w:rFonts w:ascii="Calibri" w:cs="Calibri" w:eastAsia="Calibri" w:hAnsi="Calibri"/>
                <w:color w:val="404040"/>
                <w:sz w:val="22"/>
                <w:szCs w:val="22"/>
              </w:rPr>
              <w:t xml:space="preserve">POM 1 Module Team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8.1 / 9.1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Next program update</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Real-Time Feedback Instrument — Extension to Year 2 ASCEND</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Extend the QR-code real-time feedback instrument to the Year 2 ASCEND cohort upon their return the week following this meeting. Continue daily monitoring; surface emergent themes to the relevant module/course leadership in real time; report trends to the EOC on a recurring basis.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R. Fallar, PhD</w:t>
            </w:r>
          </w:p>
          <w:p>
            <w:pPr>
              <w:spacing w:after="40" w:before="40" w:line="276"/>
            </w:pPr>
            <w:r>
              <w:rPr>
                <w:rFonts w:ascii="Calibri" w:cs="Calibri" w:eastAsia="Calibri" w:hAnsi="Calibri"/>
                <w:color w:val="404040"/>
                <w:sz w:val="22"/>
                <w:szCs w:val="22"/>
              </w:rPr>
              <w:t xml:space="preserve">Office of Curricular Affairs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1.1 / 8.4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Ongoing; report to next EOC meeting</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2960"/>
            <w:gridSpan w:val="7"/>
            <w:tcBorders>
              <w:top w:val="single" w:color="BFBFBF" w:sz="4"/>
              <w:left w:val="single" w:color="BFBFBF" w:sz="4"/>
              <w:bottom w:val="single" w:color="BFBFBF" w:sz="4"/>
              <w:right w:val="single" w:color="BFBFBF" w:sz="4"/>
            </w:tcBorders>
            <w:shd w:fill="2E5984" w:val="clear"/>
            <w:tcMar>
              <w:top w:type="dxa" w:w="60"/>
              <w:left w:type="dxa" w:w="120"/>
              <w:bottom w:type="dxa" w:w="60"/>
              <w:right w:type="dxa" w:w="120"/>
            </w:tcMar>
          </w:tcPr>
          <w:p>
            <w:pPr>
              <w:spacing w:after="40" w:before="40" w:line="276"/>
            </w:pPr>
            <w:r>
              <w:rPr>
                <w:rFonts w:ascii="Calibri" w:cs="Calibri" w:eastAsia="Calibri" w:hAnsi="Calibri"/>
                <w:b/>
                <w:bCs/>
                <w:color w:val="FFFFFF"/>
                <w:sz w:val="22"/>
                <w:szCs w:val="22"/>
              </w:rPr>
              <w:t xml:space="preserve">AUGUST 23, 2024  —  ASCEND Phase 2/3 Clerkship Placements (Discussion)</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ASCEND Phase 2/3 Clerkship Placements — Resolution of Formal Vote Requirement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Determine whether the placement, within the ASCEND curriculum, of (i) the Chronic Care Clerkship (Phase 3), (ii) the Palliative Care Clerkship (standalone, 2 weeks), (iii) the relocated Emergency Medicine Clerkship (Phase 2), and (iv) the new Emergency Medicine Acting Internship (Phase 3) requires a formal EOC vote prior to launch. If required, schedule the item as a formal voting item at a subsequent EOC meeting.</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R. Fallar, PhD</w:t>
            </w:r>
          </w:p>
          <w:p>
            <w:pPr>
              <w:spacing w:after="40" w:before="40" w:line="276"/>
            </w:pPr>
            <w:r>
              <w:rPr>
                <w:rFonts w:ascii="Calibri" w:cs="Calibri" w:eastAsia="Calibri" w:hAnsi="Calibri"/>
                <w:color w:val="404040"/>
                <w:sz w:val="22"/>
                <w:szCs w:val="22"/>
              </w:rPr>
              <w:t xml:space="preserve">T. Holzer, MD</w:t>
            </w:r>
          </w:p>
          <w:p>
            <w:pPr>
              <w:spacing w:after="40" w:before="40" w:line="276"/>
            </w:pPr>
            <w:r>
              <w:rPr>
                <w:rFonts w:ascii="Calibri" w:cs="Calibri" w:eastAsia="Calibri" w:hAnsi="Calibri"/>
                <w:color w:val="404040"/>
                <w:sz w:val="22"/>
                <w:szCs w:val="22"/>
              </w:rPr>
              <w:t xml:space="preserve">R. Soriano, MD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6.1 / 6.2 / 8.1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Prior to launch of the affected clerkships in ASCEND</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ASCEND Clerkship Placements — Year 1 Student Consultation</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Once the four clerkship-placement proposals are disseminated to the ASCEND Year 1 cohort, gather and synthesize Year 1 student perspective and return it to the Clinical Curriculum Subcommittee for incorporation into the next iteration of the design. Mr. J. Frost offered the support of the student representatives in this effort.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T. Holzer, MD</w:t>
            </w:r>
          </w:p>
          <w:p>
            <w:pPr>
              <w:spacing w:after="40" w:before="40" w:line="276"/>
            </w:pPr>
            <w:r>
              <w:rPr>
                <w:rFonts w:ascii="Calibri" w:cs="Calibri" w:eastAsia="Calibri" w:hAnsi="Calibri"/>
                <w:color w:val="404040"/>
                <w:sz w:val="22"/>
                <w:szCs w:val="22"/>
              </w:rPr>
              <w:t xml:space="preserve">J. Frost (M2 Legacy Student Rep)</w:t>
            </w:r>
          </w:p>
          <w:p>
            <w:pPr>
              <w:spacing w:after="40" w:before="40" w:line="276"/>
            </w:pPr>
            <w:r>
              <w:rPr>
                <w:rFonts w:ascii="Calibri" w:cs="Calibri" w:eastAsia="Calibri" w:hAnsi="Calibri"/>
                <w:color w:val="404040"/>
                <w:sz w:val="22"/>
                <w:szCs w:val="22"/>
              </w:rPr>
              <w:t xml:space="preserve">Clinical Curriculum Subcommittee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6.1 / 8.1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Prior to next CCS-to-EOC update</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2960"/>
            <w:gridSpan w:val="7"/>
            <w:tcBorders>
              <w:top w:val="single" w:color="BFBFBF" w:sz="4"/>
              <w:left w:val="single" w:color="BFBFBF" w:sz="4"/>
              <w:bottom w:val="single" w:color="BFBFBF" w:sz="4"/>
              <w:right w:val="single" w:color="BFBFBF" w:sz="4"/>
            </w:tcBorders>
            <w:shd w:fill="2E5984" w:val="clear"/>
            <w:tcMar>
              <w:top w:type="dxa" w:w="60"/>
              <w:left w:type="dxa" w:w="120"/>
              <w:bottom w:type="dxa" w:w="60"/>
              <w:right w:type="dxa" w:w="120"/>
            </w:tcMar>
          </w:tcPr>
          <w:p>
            <w:pPr>
              <w:spacing w:after="40" w:before="40" w:line="276"/>
            </w:pPr>
            <w:r>
              <w:rPr>
                <w:rFonts w:ascii="Calibri" w:cs="Calibri" w:eastAsia="Calibri" w:hAnsi="Calibri"/>
                <w:b/>
                <w:bCs/>
                <w:color w:val="FFFFFF"/>
                <w:sz w:val="22"/>
                <w:szCs w:val="22"/>
              </w:rPr>
              <w:t xml:space="preserve">AUGUST 23, 2024  —  LCME Element 9.4 Annual Review</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LCME Element 9.4 — Re-Education of Students on Direct Observation Terminology</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Reinforce, at the point of the Morchand Center Direct Observation Exercise, that this is the LCME-aligned "direct observation" event the AAMC GQ question references, so that students recall the exercise (rather than bedside-team observation) when responding to the GQ question. Per the recommendation of Dr. R. Stern and concurrence of the Acting Chair.</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R. Fallar, PhD</w:t>
            </w:r>
          </w:p>
          <w:p>
            <w:pPr>
              <w:spacing w:after="40" w:before="40" w:line="276"/>
            </w:pPr>
            <w:r>
              <w:rPr>
                <w:rFonts w:ascii="Calibri" w:cs="Calibri" w:eastAsia="Calibri" w:hAnsi="Calibri"/>
                <w:color w:val="404040"/>
                <w:sz w:val="22"/>
                <w:szCs w:val="22"/>
              </w:rPr>
              <w:t xml:space="preserve">T. Holzer, MD</w:t>
            </w:r>
          </w:p>
          <w:p>
            <w:pPr>
              <w:spacing w:after="40" w:before="40" w:line="276"/>
            </w:pPr>
            <w:r>
              <w:rPr>
                <w:rFonts w:ascii="Calibri" w:cs="Calibri" w:eastAsia="Calibri" w:hAnsi="Calibri"/>
                <w:color w:val="404040"/>
                <w:sz w:val="22"/>
                <w:szCs w:val="22"/>
              </w:rPr>
              <w:t xml:space="preserve">Morchand Center for Clinical Competence</w:t>
            </w:r>
          </w:p>
          <w:p>
            <w:pPr>
              <w:spacing w:after="40" w:before="40" w:line="276"/>
            </w:pPr>
            <w:r>
              <w:rPr>
                <w:rFonts w:ascii="Calibri" w:cs="Calibri" w:eastAsia="Calibri" w:hAnsi="Calibri"/>
                <w:color w:val="404040"/>
                <w:sz w:val="22"/>
                <w:szCs w:val="22"/>
              </w:rPr>
              <w:t xml:space="preserve">Clerkship Directors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9.4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By the next administration of the DO Exercise across core clerkships</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LCME Element 9.4 — OB/GYN-Specific Interpretive Pattern</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Consult OB/GYN clerkship leadership (including Dr. K. Walsh) on the continuity-care interpretive pattern surfaced by Dr. K. Alpi (and corroborated by the OB/GYN-lowest national-norms pattern) by which OB/GYN clerks may interpret the AAMC GQ observation question against bedside continuity care rather than the Morchand DO Exercise. Determine whether evaluation-instrument wording in the OB/GYN clerkship should be modified to disambiguate.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R. Fallar, PhD</w:t>
            </w:r>
          </w:p>
          <w:p>
            <w:pPr>
              <w:spacing w:after="40" w:before="40" w:line="276"/>
            </w:pPr>
            <w:r>
              <w:rPr>
                <w:rFonts w:ascii="Calibri" w:cs="Calibri" w:eastAsia="Calibri" w:hAnsi="Calibri"/>
                <w:color w:val="404040"/>
                <w:sz w:val="22"/>
                <w:szCs w:val="22"/>
              </w:rPr>
              <w:t xml:space="preserve">M. Francis, MD (Chair; OB/GYN Clerkship leadership)</w:t>
            </w:r>
          </w:p>
          <w:p>
            <w:pPr>
              <w:spacing w:after="40" w:before="40" w:line="276"/>
            </w:pPr>
            <w:r>
              <w:rPr>
                <w:rFonts w:ascii="Calibri" w:cs="Calibri" w:eastAsia="Calibri" w:hAnsi="Calibri"/>
                <w:color w:val="404040"/>
                <w:sz w:val="22"/>
                <w:szCs w:val="22"/>
              </w:rPr>
              <w:t xml:space="preserve">K. Walsh, MD</w:t>
            </w:r>
          </w:p>
          <w:p>
            <w:pPr>
              <w:spacing w:after="40" w:before="40" w:line="276"/>
            </w:pPr>
            <w:r>
              <w:rPr>
                <w:rFonts w:ascii="Calibri" w:cs="Calibri" w:eastAsia="Calibri" w:hAnsi="Calibri"/>
                <w:color w:val="404040"/>
                <w:sz w:val="22"/>
                <w:szCs w:val="22"/>
              </w:rPr>
              <w:t xml:space="preserve">Office of Curricular Affairs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9.4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Prior to next annual review of Element 9.4</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LCME Element 9.4 — Drill-Down Data at Next Annual Review</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At the next annual review of LCME Element 9.4, present additional drill-down data per Dr. B. Masi's recommendation: (i) specialty-relevance of the history and physical performed during the observation (alignment of the observation content to the clerkship specialty), and (ii) the actual assessment scores students received on the DO Exercise (beyond the binary fact of observation). Anticipate co-presentation of evidence relevant to adjacent LCME elements.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R. Fallar, PhD</w:t>
            </w:r>
          </w:p>
          <w:p>
            <w:pPr>
              <w:spacing w:after="40" w:before="40" w:line="276"/>
            </w:pPr>
            <w:r>
              <w:rPr>
                <w:rFonts w:ascii="Calibri" w:cs="Calibri" w:eastAsia="Calibri" w:hAnsi="Calibri"/>
                <w:color w:val="404040"/>
                <w:sz w:val="22"/>
                <w:szCs w:val="22"/>
              </w:rPr>
              <w:t xml:space="preserve">B. Masi, PhD</w:t>
            </w:r>
          </w:p>
          <w:p>
            <w:pPr>
              <w:spacing w:after="40" w:before="40" w:line="276"/>
            </w:pPr>
            <w:r>
              <w:rPr>
                <w:rFonts w:ascii="Calibri" w:cs="Calibri" w:eastAsia="Calibri" w:hAnsi="Calibri"/>
                <w:color w:val="404040"/>
                <w:sz w:val="22"/>
                <w:szCs w:val="22"/>
              </w:rPr>
              <w:t xml:space="preserve">Office of Assessment and Evaluation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9.4 / 8.4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Next annual review of Element 9.4</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bl>
    <w:sectPr>
      <w:headerReference w:type="default" r:id="rId9"/>
      <w:footerReference w:type="default" r:id="rId10"/>
      <w:pgSz w:w="15840" w:h="12240"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04040"/>
        <w:sz w:val="18"/>
        <w:szCs w:val="18"/>
      </w:rPr>
      <w:t xml:space="preserve">Page </w:t>
    </w:r>
    <w:r>
      <w:rPr>
        <w:rFonts w:ascii="Calibri" w:cs="Calibri" w:eastAsia="Calibri" w:hAnsi="Calibri"/>
        <w:color w:val="404040"/>
        <w:sz w:val="18"/>
        <w:szCs w:val="18"/>
      </w:rPr>
      <w:fldChar w:fldCharType="begin"/>
      <w:instrText xml:space="preserve">PAGE</w:instrText>
      <w:fldChar w:fldCharType="separate"/>
      <w:fldChar w:fldCharType="end"/>
    </w:r>
    <w:r>
      <w:rPr>
        <w:rFonts w:ascii="Calibri" w:cs="Calibri" w:eastAsia="Calibri" w:hAnsi="Calibri"/>
        <w:color w:val="404040"/>
        <w:sz w:val="18"/>
        <w:szCs w:val="18"/>
      </w:rPr>
      <w:t xml:space="preserve"> of </w:t>
    </w:r>
    <w:r>
      <w:rPr>
        <w:rFonts w:ascii="Calibri" w:cs="Calibri" w:eastAsia="Calibri" w:hAnsi="Calibri"/>
        <w:color w:val="404040"/>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04040"/>
        <w:sz w:val="18"/>
        <w:szCs w:val="18"/>
      </w:rPr>
      <w:t xml:space="preserve">Page </w:t>
    </w:r>
    <w:r>
      <w:rPr>
        <w:rFonts w:ascii="Calibri" w:cs="Calibri" w:eastAsia="Calibri" w:hAnsi="Calibri"/>
        <w:color w:val="404040"/>
        <w:sz w:val="18"/>
        <w:szCs w:val="18"/>
      </w:rPr>
      <w:fldChar w:fldCharType="begin"/>
      <w:instrText xml:space="preserve">PAGE</w:instrText>
      <w:fldChar w:fldCharType="separate"/>
      <w:fldChar w:fldCharType="end"/>
    </w:r>
    <w:r>
      <w:rPr>
        <w:rFonts w:ascii="Calibri" w:cs="Calibri" w:eastAsia="Calibri" w:hAnsi="Calibri"/>
        <w:color w:val="404040"/>
        <w:sz w:val="18"/>
        <w:szCs w:val="18"/>
      </w:rPr>
      <w:t xml:space="preserve"> of </w:t>
    </w:r>
    <w:r>
      <w:rPr>
        <w:rFonts w:ascii="Calibri" w:cs="Calibri" w:eastAsia="Calibri" w:hAnsi="Calibri"/>
        <w:color w:val="40404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spacing w:after="40"/>
      <w:jc w:val="right"/>
    </w:pPr>
    <w:r>
      <w:rPr>
        <w:rFonts w:ascii="Calibri" w:cs="Calibri" w:eastAsia="Calibri" w:hAnsi="Calibri"/>
        <w:i/>
        <w:iCs/>
        <w:color w:val="1F3A5F"/>
        <w:sz w:val="18"/>
        <w:szCs w:val="18"/>
      </w:rPr>
      <w:t xml:space="preserve">EOC Meeting Minutes — August 23, 2024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spacing w:after="40"/>
      <w:jc w:val="right"/>
    </w:pPr>
    <w:r>
      <w:rPr>
        <w:rFonts w:ascii="Calibri" w:cs="Calibri" w:eastAsia="Calibri" w:hAnsi="Calibri"/>
        <w:i/>
        <w:iCs/>
        <w:color w:val="1F3A5F"/>
        <w:sz w:val="18"/>
        <w:szCs w:val="18"/>
      </w:rPr>
      <w:t xml:space="preserve">EOC Meeting Minutes — August 23, 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 of Curricular Affairs, ISMMS</dc:creator>
  <cp:lastModifiedBy>Un-named</cp:lastModifiedBy>
  <cp:revision>1</cp:revision>
  <dcterms:created xsi:type="dcterms:W3CDTF">2026-05-25T12:56:41.231Z</dcterms:created>
  <dcterms:modified xsi:type="dcterms:W3CDTF">2026-05-25T12:56:41.231Z</dcterms:modified>
</cp:coreProperties>
</file>

<file path=docProps/custom.xml><?xml version="1.0" encoding="utf-8"?>
<Properties xmlns="http://schemas.openxmlformats.org/officeDocument/2006/custom-properties" xmlns:vt="http://schemas.openxmlformats.org/officeDocument/2006/docPropsVTypes"/>
</file>